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简体" w:hAnsi="方正大标宋简体" w:eastAsia="方正仿宋简体" w:cs="方正大标宋简体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spacing w:line="276" w:lineRule="auto"/>
        <w:jc w:val="center"/>
        <w:rPr>
          <w:rFonts w:hint="eastAsia" w:ascii="方正大标宋简体" w:hAnsi="方正大标宋简体" w:eastAsia="方正大标宋简体" w:cs="方正大标宋简体"/>
          <w:spacing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0"/>
          <w:sz w:val="36"/>
          <w:szCs w:val="36"/>
        </w:rPr>
        <w:t>2019年临泉县引进县外在编在职优秀教师申报备案表</w:t>
      </w:r>
    </w:p>
    <w:p>
      <w:pPr>
        <w:spacing w:line="120" w:lineRule="exact"/>
        <w:jc w:val="center"/>
        <w:rPr>
          <w:rFonts w:hint="eastAsia" w:ascii="方正小标宋_GBK" w:eastAsia="方正小标宋_GBK"/>
          <w:spacing w:val="20"/>
          <w:sz w:val="6"/>
          <w:szCs w:val="32"/>
        </w:rPr>
      </w:pPr>
    </w:p>
    <w:tbl>
      <w:tblPr>
        <w:tblStyle w:val="3"/>
        <w:tblW w:w="9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99"/>
        <w:gridCol w:w="573"/>
        <w:gridCol w:w="992"/>
        <w:gridCol w:w="472"/>
        <w:gridCol w:w="557"/>
        <w:gridCol w:w="531"/>
        <w:gridCol w:w="499"/>
        <w:gridCol w:w="776"/>
        <w:gridCol w:w="321"/>
        <w:gridCol w:w="957"/>
        <w:gridCol w:w="112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参加工作年月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学历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教师资格类别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0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现工作地区、单位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40"/>
              </w:rPr>
              <w:t>(全称，与档案材料一致)</w:t>
            </w:r>
          </w:p>
        </w:tc>
        <w:tc>
          <w:tcPr>
            <w:tcW w:w="4113" w:type="dxa"/>
            <w:gridSpan w:val="7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0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0"/>
              </w:rPr>
            </w:pPr>
          </w:p>
        </w:tc>
        <w:tc>
          <w:tcPr>
            <w:tcW w:w="4113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况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称谓及姓名</w:t>
            </w: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现 在 何 处（全称）从 事 何 职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学 习 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</w:tc>
        <w:tc>
          <w:tcPr>
            <w:tcW w:w="33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乡镇中心校（县直学校）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学 段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学 科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是否服从调配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2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提交证件</w:t>
            </w:r>
          </w:p>
        </w:tc>
        <w:tc>
          <w:tcPr>
            <w:tcW w:w="7943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30"/>
              </w:rPr>
              <w:t>毕业证（最高）、身份证、教师资格证、专业技术资格证书、聘任证书原件和复印件。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94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本人系在编在岗教师，并已转正定级,且年度考核均为合格及以上等次。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近3年来无违规违纪行为；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本人现任工作单位属于（城区或农村）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       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本人保证：以上所填信息真实准确，如有隐瞒或虚假，本人愿意承担相应责任。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承诺人签字：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身份证号：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时间：</w:t>
            </w:r>
          </w:p>
        </w:tc>
      </w:tr>
    </w:tbl>
    <w:p>
      <w:pPr>
        <w:tabs>
          <w:tab w:val="left" w:pos="3960"/>
        </w:tabs>
        <w:spacing w:line="560" w:lineRule="exact"/>
        <w:rPr>
          <w:rFonts w:hint="eastAsia" w:ascii="宋体" w:hAnsi="宋体" w:cs="宋体"/>
          <w:sz w:val="24"/>
          <w:szCs w:val="30"/>
          <w:u w:val="single"/>
        </w:rPr>
      </w:pPr>
      <w:r>
        <w:rPr>
          <w:rFonts w:hint="eastAsia" w:ascii="宋体" w:hAnsi="宋体" w:cs="宋体"/>
          <w:sz w:val="24"/>
          <w:szCs w:val="30"/>
        </w:rPr>
        <w:t>说明：联系电话保持畅通，否则责任自负。     联系电话：</w:t>
      </w:r>
      <w:r>
        <w:rPr>
          <w:rFonts w:hint="eastAsia" w:ascii="宋体" w:hAnsi="宋体" w:cs="宋体"/>
          <w:sz w:val="24"/>
          <w:szCs w:val="30"/>
          <w:u w:val="single"/>
        </w:rPr>
        <w:t xml:space="preserve">                    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</w:rPr>
        <w:t>临泉县引进县外在编在职优秀教师审批（备案）表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华文中宋" w:hAnsi="华文中宋" w:eastAsia="华文中宋"/>
          <w:b/>
          <w:bCs/>
          <w:sz w:val="36"/>
        </w:rPr>
      </w:pPr>
    </w:p>
    <w:tbl>
      <w:tblPr>
        <w:tblStyle w:val="3"/>
        <w:tblW w:w="9000" w:type="dxa"/>
        <w:jc w:val="center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152"/>
        <w:gridCol w:w="605"/>
        <w:gridCol w:w="1112"/>
        <w:gridCol w:w="1113"/>
        <w:gridCol w:w="72"/>
        <w:gridCol w:w="506"/>
        <w:gridCol w:w="156"/>
        <w:gridCol w:w="751"/>
        <w:gridCol w:w="73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申请人姓名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性别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任教年月</w:t>
            </w:r>
          </w:p>
        </w:tc>
        <w:tc>
          <w:tcPr>
            <w:tcW w:w="73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学历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学科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职称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751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730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工作单位</w:t>
            </w:r>
          </w:p>
        </w:tc>
        <w:tc>
          <w:tcPr>
            <w:tcW w:w="431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籍贯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申请流入学校</w:t>
            </w:r>
          </w:p>
        </w:tc>
        <w:tc>
          <w:tcPr>
            <w:tcW w:w="431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>手机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520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  <w:sz w:val="24"/>
              </w:rPr>
            </w:pPr>
            <w:r>
              <w:rPr>
                <w:rFonts w:hint="eastAsia" w:ascii="方正准圆简体" w:hAnsi="方正准圆简体" w:eastAsia="方正准圆简体" w:cs="方正准圆简体"/>
                <w:sz w:val="24"/>
              </w:rPr>
              <w:t>调出地学校、部门意见</w:t>
            </w:r>
          </w:p>
        </w:tc>
        <w:tc>
          <w:tcPr>
            <w:tcW w:w="44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  <w:sz w:val="24"/>
              </w:rPr>
            </w:pPr>
            <w:r>
              <w:rPr>
                <w:rFonts w:hint="eastAsia" w:ascii="方正准圆简体" w:hAnsi="方正准圆简体" w:eastAsia="方正准圆简体" w:cs="方正准圆简体"/>
                <w:sz w:val="24"/>
              </w:rPr>
              <w:t>调入地部门意见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学</w:t>
            </w:r>
          </w:p>
          <w:p>
            <w:pPr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校</w:t>
            </w:r>
          </w:p>
          <w:p>
            <w:pPr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以上个人信息填写是否属实，是否同意流出：</w:t>
            </w: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ind w:firstLine="210" w:firstLineChars="100"/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年     月    日（公章）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教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育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局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审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核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435" w:leftChars="207" w:firstLine="315" w:firstLineChars="150"/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教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育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局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审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核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ind w:firstLine="210" w:firstLineChars="100"/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    年    月   日（公章）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编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办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审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核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ind w:firstLine="210" w:firstLineChars="100"/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 年    月   日（公章）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编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办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审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核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ind w:firstLine="210" w:firstLineChars="100"/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                </w:t>
            </w: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年     月    日（公章）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财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政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局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审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核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年    月   日（公章）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人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社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局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审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核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ind w:firstLine="210" w:firstLineChars="100"/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 年     月    日（公章）       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人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社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局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审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核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意</w:t>
            </w:r>
          </w:p>
          <w:p>
            <w:pPr>
              <w:spacing w:line="320" w:lineRule="atLeast"/>
              <w:jc w:val="center"/>
              <w:rPr>
                <w:rFonts w:hint="eastAsia" w:ascii="方正准圆简体" w:hAnsi="方正准圆简体" w:eastAsia="方正准圆简体" w:cs="方正准圆简体"/>
                <w:b/>
              </w:rPr>
            </w:pPr>
            <w:r>
              <w:rPr>
                <w:rFonts w:hint="eastAsia" w:ascii="方正准圆简体" w:hAnsi="方正准圆简体" w:eastAsia="方正准圆简体" w:cs="方正准圆简体"/>
                <w:b/>
              </w:rPr>
              <w:t>见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</w:p>
          <w:p>
            <w:pPr>
              <w:jc w:val="left"/>
              <w:rPr>
                <w:rFonts w:hint="eastAsia" w:ascii="方正准圆简体" w:hAnsi="方正准圆简体" w:eastAsia="方正准圆简体" w:cs="方正准圆简体"/>
              </w:rPr>
            </w:pPr>
            <w:r>
              <w:rPr>
                <w:rFonts w:hint="eastAsia" w:ascii="方正准圆简体" w:hAnsi="方正准圆简体" w:eastAsia="方正准圆简体" w:cs="方正准圆简体"/>
              </w:rPr>
              <w:t xml:space="preserve">            年    月   日（公章）  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附件3</w:t>
      </w:r>
      <w:r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</w:rPr>
      </w:pPr>
    </w:p>
    <w:p>
      <w:pPr>
        <w:widowControl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临泉县教育人才奖励实施办法</w:t>
      </w:r>
    </w:p>
    <w:p>
      <w:pPr>
        <w:spacing w:line="4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为优化我县教育人才引进、培养环境，造就高素质、专业化教育人才梯队，发挥人才示范引领和辐射作用，结合我县教育情况实际，制定本办法。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（一）引进对象。</w:t>
      </w:r>
      <w:r>
        <w:rPr>
          <w:rFonts w:hint="eastAsia" w:ascii="仿宋_GB2312" w:eastAsia="仿宋_GB2312"/>
          <w:sz w:val="32"/>
          <w:szCs w:val="32"/>
        </w:rPr>
        <w:t>男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周岁，女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周岁以下的省级有突出贡献的中青年专家、正高级教师、特级教师，市级及以上名师、教坛新星、学科带头人，近10年内市级优质课一等奖以上获得者。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（二）引进方式。</w:t>
      </w:r>
      <w:r>
        <w:rPr>
          <w:rFonts w:hint="eastAsia" w:ascii="仿宋_GB2312" w:eastAsia="仿宋_GB2312"/>
          <w:sz w:val="32"/>
          <w:szCs w:val="32"/>
        </w:rPr>
        <w:t>拓宽引进渠道，采取集中引进与个别引进相结合的方式（集中引进一年一次，个别引进采取一事一议）。（责任单位：县人才办、县人社局、县编办、县教育局）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（三）人才管理。</w:t>
      </w:r>
      <w:r>
        <w:rPr>
          <w:rFonts w:hint="eastAsia" w:ascii="仿宋_GB2312" w:eastAsia="仿宋_GB2312"/>
          <w:sz w:val="32"/>
          <w:szCs w:val="32"/>
        </w:rPr>
        <w:t>实行合同和年度考核管理，鼓励引进人员与引进单位签订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年以上工作协议履行相应职责，发挥示范引领作用。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二、人才奖励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（一）奖励类别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 省级有突出贡献的中青年专家，正高级教师、特级教师，近10年内全国优质课一等奖及以上获得者，省级名师、好校长：连续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年内由县财政每人每月奖励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近10年内省级优质一等奖及以上获得者，省级教坛新星：连续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年内，由县财政每月奖励</w:t>
      </w:r>
      <w:r>
        <w:rPr>
          <w:rFonts w:ascii="仿宋_GB2312" w:eastAsia="仿宋_GB2312"/>
          <w:sz w:val="32"/>
          <w:szCs w:val="32"/>
        </w:rPr>
        <w:t>1000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 市级名师、名校长、学科带头人，市级教坛新星，近10年内市级优质一等奖及以上获得者：连续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年内由县财政每月奖励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国家部属高校免费师范毕业生：连续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年内由县财政每月奖励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能认真履行相应岗位职责，年度履职考核合格，由县教育局提出意见，县人才工作领导小组研究确定，并进行公示后打卡发放。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三、名师、名校长工作室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工作室构建与管理。</w:t>
      </w:r>
      <w:r>
        <w:rPr>
          <w:rFonts w:hint="eastAsia" w:ascii="仿宋_GB2312" w:eastAsia="仿宋_GB2312"/>
          <w:sz w:val="32"/>
          <w:szCs w:val="32"/>
        </w:rPr>
        <w:t>优选师德高尚、业务精湛，在市、县有较高声誉的名师、名校长，包括特级教师、省级名师好校长，全国优质课一等奖获得者，市级名师、亟需学科带头人、表现突出的县级及以上名优校长，设立以其姓名命名的名师、名校长工作室，期限三年。拟设立名师工作室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个，名校长工作室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个，经专家评审确定，实行动态管理。对认真履职、辐射带动作用突出，经考核合格的，继续开设，考核不合格的予以撤牌（具体按《阜阳市名师名校长工作室管理办法》执行）。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经费保障。</w:t>
      </w:r>
      <w:r>
        <w:rPr>
          <w:rFonts w:hint="eastAsia" w:ascii="仿宋_GB2312" w:eastAsia="仿宋_GB2312"/>
          <w:sz w:val="32"/>
          <w:szCs w:val="32"/>
        </w:rPr>
        <w:t>每个工作室由县财政每年提供活动经费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万元（起始年追加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万元启动经费）。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/>
        <w:textAlignment w:val="auto"/>
      </w:pPr>
      <w:r>
        <w:rPr>
          <w:rFonts w:hint="eastAsia" w:ascii="仿宋_GB2312" w:eastAsia="仿宋_GB2312"/>
          <w:sz w:val="32"/>
          <w:szCs w:val="32"/>
        </w:rPr>
        <w:t>注：同一人，按获奖层次高的计算，同一层次获奖不累计计算。</w:t>
      </w:r>
    </w:p>
    <w:p>
      <w:pPr>
        <w:tabs>
          <w:tab w:val="left" w:pos="3960"/>
        </w:tabs>
        <w:spacing w:line="560" w:lineRule="exact"/>
        <w:rPr>
          <w:rFonts w:hint="eastAsia" w:ascii="宋体" w:hAnsi="宋体" w:cs="宋体"/>
          <w:sz w:val="24"/>
          <w:szCs w:val="30"/>
          <w:u w:val="single"/>
        </w:rPr>
        <w:sectPr>
          <w:pgSz w:w="11906" w:h="16838"/>
          <w:pgMar w:top="1440" w:right="1576" w:bottom="1417" w:left="1576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line="560" w:lineRule="exact"/>
        <w:jc w:val="left"/>
        <w:rPr>
          <w:rFonts w:hint="eastAsia" w:ascii="仿宋_GB2312" w:hAnsi="仿宋" w:eastAsia="仿宋_GB2312" w:cs="仿宋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附件4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仿宋_GB2312" w:hAnsi="仿宋" w:eastAsia="仿宋_GB2312" w:cs="仿宋"/>
          <w:b w:val="0"/>
          <w:bCs/>
          <w:sz w:val="30"/>
          <w:szCs w:val="30"/>
          <w:lang w:eastAsia="zh-CN"/>
        </w:rPr>
      </w:pPr>
    </w:p>
    <w:p>
      <w:pPr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0"/>
          <w:sz w:val="36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spacing w:val="0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pacing w:val="0"/>
          <w:sz w:val="36"/>
          <w:szCs w:val="32"/>
        </w:rPr>
        <w:t>临泉县引进县外在编在职教师综合认定细则</w:t>
      </w:r>
    </w:p>
    <w:p>
      <w:pPr>
        <w:spacing w:line="276" w:lineRule="auto"/>
        <w:ind w:firstLine="400" w:firstLineChars="200"/>
        <w:jc w:val="left"/>
        <w:rPr>
          <w:rFonts w:hint="eastAsia" w:ascii="仿宋_GB2312" w:hAnsi="宋体" w:eastAsia="仿宋_GB2312"/>
          <w:sz w:val="20"/>
          <w:szCs w:val="30"/>
        </w:rPr>
      </w:pPr>
    </w:p>
    <w:p>
      <w:pPr>
        <w:snapToGrid w:val="0"/>
        <w:jc w:val="left"/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一、综合认定项目及量化标准</w:t>
      </w:r>
    </w:p>
    <w:tbl>
      <w:tblPr>
        <w:tblStyle w:val="3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59"/>
        <w:gridCol w:w="1174"/>
        <w:gridCol w:w="1100"/>
        <w:gridCol w:w="934"/>
        <w:gridCol w:w="964"/>
        <w:gridCol w:w="987"/>
        <w:gridCol w:w="2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697" w:type="dxa"/>
            <w:gridSpan w:val="3"/>
            <w:tcBorders>
              <w:tl2br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级别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项目/分值/等次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国家级</w:t>
            </w:r>
          </w:p>
        </w:tc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省级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市级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县级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276" w:lineRule="auto"/>
              <w:ind w:firstLine="366" w:firstLineChars="150"/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358" w:type="dxa"/>
            <w:vMerge w:val="restart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  <w:t>由业务部门组织的优质课评选、基本功竞赛、技能大赛、学科竞赛等获奖（辅导学生获奖证书须注明有辅导老师姓名）。按最高一项记分，其他不同类型的取最高项按相应等次分值的10%计分累加，其余不计，最高记15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骨干教师</w:t>
            </w:r>
          </w:p>
        </w:tc>
        <w:tc>
          <w:tcPr>
            <w:tcW w:w="7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名师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358" w:type="dxa"/>
            <w:vMerge w:val="restart"/>
            <w:noWrap w:val="0"/>
            <w:vAlign w:val="center"/>
          </w:tcPr>
          <w:p>
            <w:pPr>
              <w:spacing w:line="276" w:lineRule="auto"/>
              <w:ind w:firstLine="366" w:firstLineChars="150"/>
              <w:jc w:val="left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  <w:t>依最高一项记分，不累加。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学科带头人、教坛新星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骨干教师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358" w:type="dxa"/>
            <w:vMerge w:val="continue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工作年限</w:t>
            </w:r>
          </w:p>
        </w:tc>
        <w:tc>
          <w:tcPr>
            <w:tcW w:w="7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517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shd w:val="clear" w:color="auto" w:fill="FFFFFF"/>
              </w:rPr>
              <w:t>工作满3年记1分，每增加1年记0.2分，记满3分为止。</w:t>
            </w:r>
          </w:p>
        </w:tc>
      </w:tr>
    </w:tbl>
    <w:p>
      <w:pPr>
        <w:spacing w:line="276" w:lineRule="auto"/>
        <w:ind w:firstLine="160" w:firstLineChars="200"/>
        <w:jc w:val="left"/>
        <w:rPr>
          <w:rFonts w:hint="eastAsia" w:ascii="仿宋_GB2312" w:hAnsi="宋体" w:eastAsia="仿宋_GB2312"/>
          <w:sz w:val="8"/>
          <w:szCs w:val="30"/>
        </w:rPr>
      </w:pPr>
    </w:p>
    <w:p>
      <w:pPr>
        <w:snapToGrid w:val="0"/>
        <w:jc w:val="left"/>
        <w:rPr>
          <w:rFonts w:hint="eastAsia" w:ascii="黑体" w:hAnsi="黑体" w:eastAsia="黑体"/>
          <w:spacing w:val="20"/>
          <w:sz w:val="30"/>
          <w:szCs w:val="30"/>
          <w:lang w:eastAsia="zh-CN"/>
        </w:rPr>
      </w:pPr>
      <w:r>
        <w:rPr>
          <w:rFonts w:hint="eastAsia" w:ascii="黑体" w:hAnsi="黑体" w:eastAsia="黑体"/>
          <w:spacing w:val="20"/>
          <w:sz w:val="30"/>
          <w:szCs w:val="30"/>
        </w:rPr>
        <w:t>二、操作办法</w:t>
      </w:r>
    </w:p>
    <w:p>
      <w:pPr>
        <w:spacing w:line="276" w:lineRule="auto"/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申请人员超过设岗限额时，运用本细则，分数高的优先。</w:t>
      </w:r>
    </w:p>
    <w:p>
      <w:pPr>
        <w:snapToGrid w:val="0"/>
        <w:spacing w:line="560" w:lineRule="exact"/>
        <w:jc w:val="left"/>
        <w:rPr>
          <w:rFonts w:hint="eastAsia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0"/>
          <w:sz w:val="28"/>
          <w:szCs w:val="30"/>
        </w:rPr>
        <w:br w:type="page"/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附件4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spacing w:val="0"/>
          <w:sz w:val="28"/>
          <w:szCs w:val="30"/>
        </w:rPr>
      </w:pPr>
    </w:p>
    <w:p>
      <w:pPr>
        <w:spacing w:line="276" w:lineRule="auto"/>
        <w:ind w:firstLine="640" w:firstLineChars="200"/>
        <w:jc w:val="left"/>
        <w:rPr>
          <w:rFonts w:hint="eastAsia" w:ascii="方正大标宋简体" w:hAnsi="方正大标宋简体" w:eastAsia="方正大标宋简体" w:cs="方正大标宋简体"/>
          <w:spacing w:val="0"/>
          <w:sz w:val="36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spacing w:val="0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pacing w:val="0"/>
          <w:sz w:val="36"/>
          <w:szCs w:val="32"/>
        </w:rPr>
        <w:t>临泉县引进县外在编在职教师考察备案表</w:t>
      </w:r>
    </w:p>
    <w:tbl>
      <w:tblPr>
        <w:tblStyle w:val="3"/>
        <w:tblpPr w:leftFromText="180" w:rightFromText="180" w:vertAnchor="text" w:horzAnchor="margin" w:tblpXSpec="center" w:tblpY="120"/>
        <w:tblOverlap w:val="never"/>
        <w:tblW w:w="89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755"/>
        <w:gridCol w:w="1210"/>
        <w:gridCol w:w="1215"/>
        <w:gridCol w:w="810"/>
        <w:gridCol w:w="1508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31"/>
              </w:rPr>
            </w:pPr>
            <w:r>
              <w:rPr>
                <w:color w:val="auto"/>
                <w:sz w:val="24"/>
              </w:rPr>
              <w:t>姓  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31"/>
              </w:rPr>
            </w:pPr>
            <w:r>
              <w:rPr>
                <w:color w:val="auto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31"/>
              </w:rPr>
            </w:pPr>
            <w:r>
              <w:rPr>
                <w:color w:val="auto"/>
                <w:sz w:val="24"/>
              </w:rPr>
              <w:t>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31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任教年月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3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学历、毕业学校及专业</w:t>
            </w:r>
          </w:p>
        </w:tc>
        <w:tc>
          <w:tcPr>
            <w:tcW w:w="549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所在</w:t>
            </w:r>
            <w:r>
              <w:rPr>
                <w:rFonts w:hint="eastAsia"/>
                <w:color w:val="auto"/>
                <w:sz w:val="24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color w:val="auto"/>
                <w:sz w:val="24"/>
              </w:rPr>
              <w:t>鉴定意见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9" w:lineRule="atLeast"/>
              <w:jc w:val="left"/>
              <w:rPr>
                <w:rFonts w:hint="eastAsia" w:ascii="仿宋_GB2312" w:eastAsia="仿宋_GB2312"/>
                <w:color w:val="auto"/>
                <w:sz w:val="31"/>
              </w:rPr>
            </w:pPr>
            <w:r>
              <w:rPr>
                <w:color w:val="auto"/>
              </w:rPr>
              <w:t>（</w:t>
            </w:r>
            <w:r>
              <w:rPr>
                <w:rFonts w:hint="eastAsia" w:ascii="黑体" w:hAnsi="黑体" w:eastAsia="黑体"/>
                <w:color w:val="auto"/>
              </w:rPr>
              <w:t>出具关于师德、业务能力水平等方面现实表现情况</w:t>
            </w:r>
            <w:r>
              <w:rPr>
                <w:color w:val="auto"/>
              </w:rPr>
              <w:t>）</w:t>
            </w:r>
            <w:r>
              <w:rPr>
                <w:color w:val="auto"/>
                <w:sz w:val="24"/>
              </w:rPr>
              <w:t xml:space="preserve">                                                                                </w:t>
            </w:r>
          </w:p>
          <w:p>
            <w:pPr>
              <w:snapToGrid w:val="0"/>
              <w:spacing w:line="289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</w:t>
            </w:r>
          </w:p>
          <w:p>
            <w:pPr>
              <w:snapToGrid w:val="0"/>
              <w:spacing w:line="289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firstLine="117" w:firstLineChars="49"/>
              <w:jc w:val="righ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w w:val="80"/>
                <w:sz w:val="24"/>
              </w:rPr>
              <w:t xml:space="preserve">中心（县直）学校负责人(签字) ：                      </w:t>
            </w:r>
          </w:p>
          <w:p>
            <w:pPr>
              <w:wordWrap w:val="0"/>
              <w:snapToGrid w:val="0"/>
              <w:spacing w:line="289" w:lineRule="atLeast"/>
              <w:jc w:val="right"/>
              <w:rPr>
                <w:rFonts w:hint="eastAsia" w:ascii="仿宋_GB2312"/>
                <w:color w:val="auto"/>
                <w:sz w:val="31"/>
              </w:rPr>
            </w:pP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       </w:t>
            </w:r>
            <w:r>
              <w:rPr>
                <w:color w:val="auto"/>
                <w:sz w:val="24"/>
              </w:rPr>
              <w:t xml:space="preserve"> 年    月    日</w:t>
            </w:r>
            <w:r>
              <w:rPr>
                <w:rFonts w:hint="eastAsia"/>
                <w:color w:val="auto"/>
                <w:sz w:val="24"/>
              </w:rPr>
              <w:t xml:space="preserve">（章）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户籍或工作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所在地派出所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鉴定意见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  <w:r>
              <w:rPr>
                <w:color w:val="auto"/>
              </w:rPr>
              <w:t>（</w:t>
            </w:r>
            <w:r>
              <w:rPr>
                <w:rFonts w:hint="eastAsia" w:ascii="黑体" w:hAnsi="黑体" w:eastAsia="黑体"/>
                <w:color w:val="auto"/>
              </w:rPr>
              <w:t>出具有无违法乱纪行为证明</w:t>
            </w:r>
            <w:r>
              <w:rPr>
                <w:color w:val="auto"/>
              </w:rPr>
              <w:t>）</w:t>
            </w:r>
            <w:r>
              <w:rPr>
                <w:color w:val="auto"/>
                <w:sz w:val="24"/>
              </w:rPr>
              <w:t xml:space="preserve"> </w:t>
            </w:r>
          </w:p>
          <w:p>
            <w:pPr>
              <w:snapToGrid w:val="0"/>
              <w:spacing w:line="289" w:lineRule="atLeast"/>
              <w:jc w:val="center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center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center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center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center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center"/>
              <w:rPr>
                <w:color w:val="auto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firstLine="94" w:firstLineChars="49"/>
              <w:jc w:val="right"/>
              <w:rPr>
                <w:rFonts w:hint="eastAsia"/>
                <w:color w:val="auto"/>
                <w:w w:val="80"/>
                <w:sz w:val="24"/>
              </w:rPr>
            </w:pPr>
            <w:r>
              <w:rPr>
                <w:rFonts w:hint="eastAsia"/>
                <w:color w:val="auto"/>
                <w:w w:val="80"/>
                <w:sz w:val="24"/>
              </w:rPr>
              <w:t>派出所</w:t>
            </w:r>
            <w:r>
              <w:rPr>
                <w:color w:val="auto"/>
                <w:w w:val="80"/>
                <w:sz w:val="24"/>
              </w:rPr>
              <w:t>负责人</w:t>
            </w:r>
            <w:r>
              <w:rPr>
                <w:rFonts w:hint="eastAsia"/>
                <w:color w:val="auto"/>
                <w:w w:val="80"/>
                <w:sz w:val="24"/>
              </w:rPr>
              <w:t xml:space="preserve">（签字）：                  </w:t>
            </w:r>
          </w:p>
          <w:p>
            <w:pPr>
              <w:wordWrap w:val="0"/>
              <w:snapToGrid w:val="0"/>
              <w:spacing w:line="289" w:lineRule="atLeas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color w:val="auto"/>
                <w:sz w:val="24"/>
              </w:rPr>
              <w:t xml:space="preserve"> 年    月    日</w:t>
            </w:r>
            <w:r>
              <w:rPr>
                <w:rFonts w:hint="eastAsia"/>
                <w:color w:val="auto"/>
                <w:sz w:val="24"/>
              </w:rPr>
              <w:t xml:space="preserve">（章）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教育主管部门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鉴定意见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</w:rPr>
              <w:t>（</w:t>
            </w:r>
            <w:r>
              <w:rPr>
                <w:rFonts w:hint="eastAsia" w:ascii="黑体" w:hAnsi="黑体" w:eastAsia="黑体"/>
                <w:color w:val="auto"/>
              </w:rPr>
              <w:t>出具有无违规违纪行为证明</w:t>
            </w:r>
            <w:r>
              <w:rPr>
                <w:color w:val="auto"/>
              </w:rPr>
              <w:t>）</w:t>
            </w:r>
            <w:r>
              <w:rPr>
                <w:color w:val="auto"/>
                <w:sz w:val="24"/>
              </w:rPr>
              <w:t xml:space="preserve"> </w:t>
            </w:r>
          </w:p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left"/>
              <w:rPr>
                <w:color w:val="auto"/>
                <w:sz w:val="24"/>
              </w:rPr>
            </w:pPr>
          </w:p>
          <w:p>
            <w:pPr>
              <w:snapToGrid w:val="0"/>
              <w:spacing w:line="289" w:lineRule="atLeast"/>
              <w:jc w:val="right"/>
              <w:rPr>
                <w:color w:val="auto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firstLine="94" w:firstLineChars="49"/>
              <w:jc w:val="right"/>
              <w:rPr>
                <w:rFonts w:hint="eastAsia"/>
                <w:color w:val="auto"/>
                <w:w w:val="80"/>
                <w:sz w:val="24"/>
              </w:rPr>
            </w:pPr>
            <w:r>
              <w:rPr>
                <w:rFonts w:hint="eastAsia"/>
                <w:color w:val="auto"/>
                <w:w w:val="80"/>
                <w:sz w:val="24"/>
              </w:rPr>
              <w:t xml:space="preserve">纪委派驻教育主管部门负责人（签字）：                </w:t>
            </w:r>
          </w:p>
          <w:p>
            <w:pPr>
              <w:snapToGrid w:val="0"/>
              <w:spacing w:line="289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</w:t>
            </w:r>
            <w:r>
              <w:rPr>
                <w:color w:val="auto"/>
                <w:sz w:val="24"/>
              </w:rPr>
              <w:t>年    月    日</w:t>
            </w:r>
            <w:r>
              <w:rPr>
                <w:rFonts w:hint="eastAsia"/>
                <w:color w:val="auto"/>
                <w:sz w:val="24"/>
              </w:rPr>
              <w:t>（章）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76" w:bottom="1417" w:left="1576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E3CA"/>
    <w:multiLevelType w:val="singleLevel"/>
    <w:tmpl w:val="5530E3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安杰</cp:lastModifiedBy>
  <dcterms:modified xsi:type="dcterms:W3CDTF">2019-05-06T03:00:29Z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