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27" w:rsidRPr="00711027" w:rsidRDefault="00711027" w:rsidP="00711027">
      <w:pPr>
        <w:jc w:val="center"/>
        <w:rPr>
          <w:rFonts w:ascii="华文中宋" w:eastAsia="华文中宋" w:hAnsi="华文中宋" w:hint="eastAsia"/>
          <w:b/>
          <w:sz w:val="36"/>
          <w:szCs w:val="36"/>
          <w:lang w:eastAsia="zh-CN"/>
        </w:rPr>
      </w:pPr>
      <w:r w:rsidRPr="00711027">
        <w:rPr>
          <w:rFonts w:ascii="华文中宋" w:eastAsia="华文中宋" w:hAnsi="华文中宋" w:hint="eastAsia"/>
          <w:b/>
          <w:sz w:val="36"/>
          <w:szCs w:val="36"/>
          <w:lang w:eastAsia="zh-CN"/>
        </w:rPr>
        <w:t>安徽省中小学教师资格考试与认定政策解释口径</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一、关于凭高等教育自学考试教育学（</w:t>
      </w:r>
      <w:proofErr w:type="gramStart"/>
      <w:r w:rsidRPr="00711027">
        <w:rPr>
          <w:rFonts w:ascii="华文中宋" w:eastAsia="华文中宋" w:hAnsi="华文中宋" w:hint="eastAsia"/>
          <w:sz w:val="30"/>
          <w:szCs w:val="30"/>
          <w:lang w:eastAsia="zh-CN"/>
        </w:rPr>
        <w:t>一</w:t>
      </w:r>
      <w:proofErr w:type="gramEnd"/>
      <w:r w:rsidRPr="00711027">
        <w:rPr>
          <w:rFonts w:ascii="华文中宋" w:eastAsia="华文中宋" w:hAnsi="华文中宋" w:hint="eastAsia"/>
          <w:sz w:val="30"/>
          <w:szCs w:val="30"/>
          <w:lang w:eastAsia="zh-CN"/>
        </w:rPr>
        <w:t>）（课程代码：00429）和心理学（课程代码：00031）（以下简称“两学”考试）两科合格证书申请中小学教师资格的有效期问题。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截止2014年2月，已取得“两学”考试两科合格证书者，在2015年12月31日前按照原办法认定教师资格；截止2014年2月，仅取得“两学”考试单科合格证书者，须在2014年12月31日前通过高等教育自学考试取得另一单科合格证书，并在2015年12月31日前按照原办法认定教师资格。逾期未提出申请的，“两学”考试成绩不再作为认定中小学教师资格依据，申请教师资格须参加国</w:t>
      </w:r>
      <w:proofErr w:type="gramStart"/>
      <w:r w:rsidRPr="00711027">
        <w:rPr>
          <w:rFonts w:ascii="华文中宋" w:eastAsia="华文中宋" w:hAnsi="华文中宋" w:hint="eastAsia"/>
          <w:sz w:val="30"/>
          <w:szCs w:val="30"/>
          <w:lang w:eastAsia="zh-CN"/>
        </w:rPr>
        <w:t>家教师</w:t>
      </w:r>
      <w:proofErr w:type="gramEnd"/>
      <w:r w:rsidRPr="00711027">
        <w:rPr>
          <w:rFonts w:ascii="华文中宋" w:eastAsia="华文中宋" w:hAnsi="华文中宋" w:hint="eastAsia"/>
          <w:sz w:val="30"/>
          <w:szCs w:val="30"/>
          <w:lang w:eastAsia="zh-CN"/>
        </w:rPr>
        <w:t>资格考试。</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“两学”考试两科合格证书均在2014年2月以后取得的，不再作为申请中小学教师资格的依据。</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二、关于截止2013年12月31日在校就读和已经毕业的全日制普通高校师范类专业学生直接申请认定教师资格的问题。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2013年9月我省实施中小学教师资格考试试点工作。试点工作启动后，从2014年起新入学的师范类专业学生，申请中小学教师资格须参加国</w:t>
      </w:r>
      <w:proofErr w:type="gramStart"/>
      <w:r w:rsidRPr="00711027">
        <w:rPr>
          <w:rFonts w:ascii="华文中宋" w:eastAsia="华文中宋" w:hAnsi="华文中宋" w:hint="eastAsia"/>
          <w:sz w:val="30"/>
          <w:szCs w:val="30"/>
          <w:lang w:eastAsia="zh-CN"/>
        </w:rPr>
        <w:t>家教师</w:t>
      </w:r>
      <w:proofErr w:type="gramEnd"/>
      <w:r w:rsidRPr="00711027">
        <w:rPr>
          <w:rFonts w:ascii="华文中宋" w:eastAsia="华文中宋" w:hAnsi="华文中宋" w:hint="eastAsia"/>
          <w:sz w:val="30"/>
          <w:szCs w:val="30"/>
          <w:lang w:eastAsia="zh-CN"/>
        </w:rPr>
        <w:t>资格考试。截止2013年12月31日在校就读和已经毕业的</w:t>
      </w:r>
      <w:proofErr w:type="gramStart"/>
      <w:r w:rsidRPr="00711027">
        <w:rPr>
          <w:rFonts w:ascii="华文中宋" w:eastAsia="华文中宋" w:hAnsi="华文中宋" w:hint="eastAsia"/>
          <w:sz w:val="30"/>
          <w:szCs w:val="30"/>
          <w:lang w:eastAsia="zh-CN"/>
        </w:rPr>
        <w:t>的</w:t>
      </w:r>
      <w:proofErr w:type="gramEnd"/>
      <w:r w:rsidRPr="00711027">
        <w:rPr>
          <w:rFonts w:ascii="华文中宋" w:eastAsia="华文中宋" w:hAnsi="华文中宋" w:hint="eastAsia"/>
          <w:sz w:val="30"/>
          <w:szCs w:val="30"/>
          <w:lang w:eastAsia="zh-CN"/>
        </w:rPr>
        <w:t>全日制普通高校师范类专业学生，可以按原办法直接申请认定任教学科与其所学专业相一致的中小</w:t>
      </w:r>
      <w:r w:rsidRPr="00711027">
        <w:rPr>
          <w:rFonts w:ascii="华文中宋" w:eastAsia="华文中宋" w:hAnsi="华文中宋" w:hint="eastAsia"/>
          <w:sz w:val="30"/>
          <w:szCs w:val="30"/>
          <w:lang w:eastAsia="zh-CN"/>
        </w:rPr>
        <w:lastRenderedPageBreak/>
        <w:t>学教师资格。申请任教学科与其所学专业不一致的教师资格时，须参加国</w:t>
      </w:r>
      <w:proofErr w:type="gramStart"/>
      <w:r w:rsidRPr="00711027">
        <w:rPr>
          <w:rFonts w:ascii="华文中宋" w:eastAsia="华文中宋" w:hAnsi="华文中宋" w:hint="eastAsia"/>
          <w:sz w:val="30"/>
          <w:szCs w:val="30"/>
          <w:lang w:eastAsia="zh-CN"/>
        </w:rPr>
        <w:t>家教师</w:t>
      </w:r>
      <w:proofErr w:type="gramEnd"/>
      <w:r w:rsidRPr="00711027">
        <w:rPr>
          <w:rFonts w:ascii="华文中宋" w:eastAsia="华文中宋" w:hAnsi="华文中宋" w:hint="eastAsia"/>
          <w:sz w:val="30"/>
          <w:szCs w:val="30"/>
          <w:lang w:eastAsia="zh-CN"/>
        </w:rPr>
        <w:t>资格考试。</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三、关于非全日制普通高校师范类专业毕业生申请认定教师资格的问题。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中小学教师资格考试试点工作实施前，非全日制普通高校师范教育类专业毕业生(如高等教育自学考试、成人高考、网络教育、电大等，以下同)申请教师资格时，需参加教育教学基本素质和能力测试。</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鉴于我省中小学教师资格考试改革过渡期到2015年12月31日结束，非全日制普通高校师范教育类专业毕业生在过渡期内，可按照原办法通过教育教学基本素质和能力测试，申请认定任教学科与其所学专业相一致的中小学教师资格。申请任教学科与其所学专业不一致的教师资格时，须参加国</w:t>
      </w:r>
      <w:proofErr w:type="gramStart"/>
      <w:r w:rsidRPr="00711027">
        <w:rPr>
          <w:rFonts w:ascii="华文中宋" w:eastAsia="华文中宋" w:hAnsi="华文中宋" w:hint="eastAsia"/>
          <w:sz w:val="30"/>
          <w:szCs w:val="30"/>
          <w:lang w:eastAsia="zh-CN"/>
        </w:rPr>
        <w:t>家教师</w:t>
      </w:r>
      <w:proofErr w:type="gramEnd"/>
      <w:r w:rsidRPr="00711027">
        <w:rPr>
          <w:rFonts w:ascii="华文中宋" w:eastAsia="华文中宋" w:hAnsi="华文中宋" w:hint="eastAsia"/>
          <w:sz w:val="30"/>
          <w:szCs w:val="30"/>
          <w:lang w:eastAsia="zh-CN"/>
        </w:rPr>
        <w:t>资格考试。</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2015年12月31日之后，非全日制普通高校师范教育类专业毕业生申请中小学教师资格时，须参加国</w:t>
      </w:r>
      <w:proofErr w:type="gramStart"/>
      <w:r w:rsidRPr="00711027">
        <w:rPr>
          <w:rFonts w:ascii="华文中宋" w:eastAsia="华文中宋" w:hAnsi="华文中宋" w:hint="eastAsia"/>
          <w:sz w:val="30"/>
          <w:szCs w:val="30"/>
          <w:lang w:eastAsia="zh-CN"/>
        </w:rPr>
        <w:t>家教师</w:t>
      </w:r>
      <w:proofErr w:type="gramEnd"/>
      <w:r w:rsidRPr="00711027">
        <w:rPr>
          <w:rFonts w:ascii="华文中宋" w:eastAsia="华文中宋" w:hAnsi="华文中宋" w:hint="eastAsia"/>
          <w:sz w:val="30"/>
          <w:szCs w:val="30"/>
          <w:lang w:eastAsia="zh-CN"/>
        </w:rPr>
        <w:t>资格考试。</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四、关于五年一贯制专科、“3+2”专科、专升本的师范类专业毕业生入学时间的界定问题。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《安徽省中小学教师资格考试改革试点工作实施方案》中规定“试点工作启动后，从2014年起新入学的师范类专业学生，申请上述教师资格须参加国家教师资格考试”。涉及五年一贯制、</w:t>
      </w:r>
      <w:r w:rsidRPr="00711027">
        <w:rPr>
          <w:rFonts w:ascii="华文中宋" w:eastAsia="华文中宋" w:hAnsi="华文中宋" w:hint="eastAsia"/>
          <w:sz w:val="30"/>
          <w:szCs w:val="30"/>
          <w:lang w:eastAsia="zh-CN"/>
        </w:rPr>
        <w:lastRenderedPageBreak/>
        <w:t>“3+2”专科、专升本的师范类专业毕业生入学时间的界定问题，以其申请中小学教师资格时提交的毕业证书上所注明的入学时间为准。</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五、关于申请认定教师资格的属地化问题。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1.全日制普通高校应届毕业生，在毕业前最后一个学期，可向就读学校所在地的教师资格认定机构提出申请认定相应的中小学教师资格，也可向户籍所在地教师资格认定机构提出申请。就读学校所在地或户籍所在地的教师资格认定机构不得拒绝受理。</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2.其他申请人可向户籍或工作单位所在地的教师资格认定机构提出申请，各级中小学教师资格认定机构不得拒绝受理。</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六、关于中小学教师资格春季和秋季受理认定问题。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教师资格条例》、《安徽省教师资格制度实施细则》明确规定：教育行政部门每年春季、秋季各受理一次教师资格认定申请。全省各级教师资格认定机构应按照要求面向符合认定条件的申请人，每年春季、秋季各开展一次中小学教师资格认定工作。</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七、关于孕妇体检的问题。</w:t>
      </w:r>
    </w:p>
    <w:p w:rsidR="00711027" w:rsidRPr="00711027" w:rsidRDefault="00711027" w:rsidP="00711027">
      <w:pPr>
        <w:rPr>
          <w:rFonts w:ascii="华文中宋" w:eastAsia="华文中宋" w:hAnsi="华文中宋" w:hint="eastAsia"/>
          <w:sz w:val="30"/>
          <w:szCs w:val="30"/>
          <w:lang w:eastAsia="zh-CN"/>
        </w:rPr>
      </w:pPr>
      <w:r w:rsidRPr="00711027">
        <w:rPr>
          <w:rFonts w:ascii="华文中宋" w:eastAsia="华文中宋" w:hAnsi="华文中宋" w:hint="eastAsia"/>
          <w:sz w:val="30"/>
          <w:szCs w:val="30"/>
          <w:lang w:eastAsia="zh-CN"/>
        </w:rPr>
        <w:t xml:space="preserve">   妊娠期的申请人可免检孕妇不宜的体检项目，在其他可检测项目合格的情况下，视为体检合格，但需由主检医生在体检表上</w:t>
      </w:r>
      <w:r w:rsidRPr="00711027">
        <w:rPr>
          <w:rFonts w:ascii="华文中宋" w:eastAsia="华文中宋" w:hAnsi="华文中宋" w:hint="eastAsia"/>
          <w:sz w:val="30"/>
          <w:szCs w:val="30"/>
          <w:lang w:eastAsia="zh-CN"/>
        </w:rPr>
        <w:lastRenderedPageBreak/>
        <w:t>签署妊娠情况说明。申请人在提交体检合格证明时需附上妊娠反应为阳性的检测报告或围产检查档案等证明材料。</w:t>
      </w:r>
    </w:p>
    <w:p w:rsidR="00711027" w:rsidRPr="00711027" w:rsidRDefault="00711027" w:rsidP="00711027">
      <w:pPr>
        <w:rPr>
          <w:rFonts w:ascii="华文中宋" w:eastAsia="华文中宋" w:hAnsi="华文中宋" w:hint="eastAsia"/>
          <w:sz w:val="30"/>
          <w:szCs w:val="30"/>
        </w:rPr>
      </w:pPr>
      <w:r w:rsidRPr="00711027">
        <w:rPr>
          <w:rFonts w:ascii="华文中宋" w:eastAsia="华文中宋" w:hAnsi="华文中宋" w:hint="eastAsia"/>
          <w:sz w:val="30"/>
          <w:szCs w:val="30"/>
          <w:lang w:eastAsia="zh-CN"/>
        </w:rPr>
        <w:tab/>
      </w:r>
    </w:p>
    <w:p w:rsidR="000C782D" w:rsidRPr="00711027" w:rsidRDefault="000C782D">
      <w:pPr>
        <w:rPr>
          <w:rFonts w:ascii="华文中宋" w:eastAsia="华文中宋" w:hAnsi="华文中宋"/>
          <w:sz w:val="30"/>
          <w:szCs w:val="30"/>
        </w:rPr>
      </w:pPr>
    </w:p>
    <w:sectPr w:rsidR="000C782D" w:rsidRPr="00711027" w:rsidSect="000C78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华文行楷">
    <w:panose1 w:val="02010800040101010101"/>
    <w:charset w:val="86"/>
    <w:family w:val="auto"/>
    <w:pitch w:val="variable"/>
    <w:sig w:usb0="00000001" w:usb1="080F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1027"/>
    <w:rsid w:val="00052A68"/>
    <w:rsid w:val="000C782D"/>
    <w:rsid w:val="00665515"/>
    <w:rsid w:val="00711027"/>
    <w:rsid w:val="00947485"/>
    <w:rsid w:val="00954389"/>
    <w:rsid w:val="00C00917"/>
    <w:rsid w:val="00C55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389"/>
  </w:style>
  <w:style w:type="paragraph" w:styleId="1">
    <w:name w:val="heading 1"/>
    <w:basedOn w:val="a"/>
    <w:next w:val="a"/>
    <w:link w:val="1Char"/>
    <w:uiPriority w:val="9"/>
    <w:qFormat/>
    <w:rsid w:val="00954389"/>
    <w:pPr>
      <w:spacing w:before="480" w:after="0"/>
      <w:contextualSpacing/>
      <w:outlineLvl w:val="0"/>
    </w:pPr>
    <w:rPr>
      <w:smallCaps/>
      <w:spacing w:val="5"/>
      <w:sz w:val="36"/>
      <w:szCs w:val="36"/>
    </w:rPr>
  </w:style>
  <w:style w:type="paragraph" w:styleId="2">
    <w:name w:val="heading 2"/>
    <w:basedOn w:val="a"/>
    <w:next w:val="a"/>
    <w:link w:val="2Char"/>
    <w:uiPriority w:val="9"/>
    <w:semiHidden/>
    <w:unhideWhenUsed/>
    <w:qFormat/>
    <w:rsid w:val="00954389"/>
    <w:pPr>
      <w:spacing w:before="200" w:after="0" w:line="271" w:lineRule="auto"/>
      <w:outlineLvl w:val="1"/>
    </w:pPr>
    <w:rPr>
      <w:smallCaps/>
      <w:sz w:val="28"/>
      <w:szCs w:val="28"/>
    </w:rPr>
  </w:style>
  <w:style w:type="paragraph" w:styleId="3">
    <w:name w:val="heading 3"/>
    <w:basedOn w:val="a"/>
    <w:next w:val="a"/>
    <w:link w:val="3Char"/>
    <w:uiPriority w:val="9"/>
    <w:semiHidden/>
    <w:unhideWhenUsed/>
    <w:qFormat/>
    <w:rsid w:val="00954389"/>
    <w:pPr>
      <w:spacing w:before="200" w:after="0" w:line="271" w:lineRule="auto"/>
      <w:outlineLvl w:val="2"/>
    </w:pPr>
    <w:rPr>
      <w:i/>
      <w:iCs/>
      <w:smallCaps/>
      <w:spacing w:val="5"/>
      <w:sz w:val="26"/>
      <w:szCs w:val="26"/>
    </w:rPr>
  </w:style>
  <w:style w:type="paragraph" w:styleId="4">
    <w:name w:val="heading 4"/>
    <w:basedOn w:val="a"/>
    <w:next w:val="a"/>
    <w:link w:val="4Char"/>
    <w:uiPriority w:val="9"/>
    <w:semiHidden/>
    <w:unhideWhenUsed/>
    <w:qFormat/>
    <w:rsid w:val="00954389"/>
    <w:pPr>
      <w:spacing w:after="0" w:line="271" w:lineRule="auto"/>
      <w:outlineLvl w:val="3"/>
    </w:pPr>
    <w:rPr>
      <w:b/>
      <w:bCs/>
      <w:spacing w:val="5"/>
      <w:sz w:val="24"/>
      <w:szCs w:val="24"/>
    </w:rPr>
  </w:style>
  <w:style w:type="paragraph" w:styleId="5">
    <w:name w:val="heading 5"/>
    <w:basedOn w:val="a"/>
    <w:next w:val="a"/>
    <w:link w:val="5Char"/>
    <w:uiPriority w:val="9"/>
    <w:semiHidden/>
    <w:unhideWhenUsed/>
    <w:qFormat/>
    <w:rsid w:val="00954389"/>
    <w:pPr>
      <w:spacing w:after="0" w:line="271" w:lineRule="auto"/>
      <w:outlineLvl w:val="4"/>
    </w:pPr>
    <w:rPr>
      <w:i/>
      <w:iCs/>
      <w:sz w:val="24"/>
      <w:szCs w:val="24"/>
    </w:rPr>
  </w:style>
  <w:style w:type="paragraph" w:styleId="6">
    <w:name w:val="heading 6"/>
    <w:basedOn w:val="a"/>
    <w:next w:val="a"/>
    <w:link w:val="6Char"/>
    <w:uiPriority w:val="9"/>
    <w:semiHidden/>
    <w:unhideWhenUsed/>
    <w:qFormat/>
    <w:rsid w:val="0095438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Char"/>
    <w:uiPriority w:val="9"/>
    <w:semiHidden/>
    <w:unhideWhenUsed/>
    <w:qFormat/>
    <w:rsid w:val="00954389"/>
    <w:pPr>
      <w:spacing w:after="0"/>
      <w:outlineLvl w:val="6"/>
    </w:pPr>
    <w:rPr>
      <w:b/>
      <w:bCs/>
      <w:i/>
      <w:iCs/>
      <w:color w:val="5A5A5A" w:themeColor="text1" w:themeTint="A5"/>
      <w:sz w:val="20"/>
      <w:szCs w:val="20"/>
    </w:rPr>
  </w:style>
  <w:style w:type="paragraph" w:styleId="8">
    <w:name w:val="heading 8"/>
    <w:basedOn w:val="a"/>
    <w:next w:val="a"/>
    <w:link w:val="8Char"/>
    <w:uiPriority w:val="9"/>
    <w:semiHidden/>
    <w:unhideWhenUsed/>
    <w:qFormat/>
    <w:rsid w:val="00954389"/>
    <w:pPr>
      <w:spacing w:after="0"/>
      <w:outlineLvl w:val="7"/>
    </w:pPr>
    <w:rPr>
      <w:b/>
      <w:bCs/>
      <w:color w:val="7F7F7F" w:themeColor="text1" w:themeTint="80"/>
      <w:sz w:val="20"/>
      <w:szCs w:val="20"/>
    </w:rPr>
  </w:style>
  <w:style w:type="paragraph" w:styleId="9">
    <w:name w:val="heading 9"/>
    <w:basedOn w:val="a"/>
    <w:next w:val="a"/>
    <w:link w:val="9Char"/>
    <w:uiPriority w:val="9"/>
    <w:semiHidden/>
    <w:unhideWhenUsed/>
    <w:qFormat/>
    <w:rsid w:val="00954389"/>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54389"/>
    <w:rPr>
      <w:smallCaps/>
      <w:spacing w:val="5"/>
      <w:sz w:val="36"/>
      <w:szCs w:val="36"/>
    </w:rPr>
  </w:style>
  <w:style w:type="character" w:styleId="a3">
    <w:name w:val="Strong"/>
    <w:uiPriority w:val="22"/>
    <w:qFormat/>
    <w:rsid w:val="00954389"/>
    <w:rPr>
      <w:b/>
      <w:bCs/>
    </w:rPr>
  </w:style>
  <w:style w:type="paragraph" w:styleId="a4">
    <w:name w:val="List Paragraph"/>
    <w:basedOn w:val="a"/>
    <w:uiPriority w:val="34"/>
    <w:qFormat/>
    <w:rsid w:val="00954389"/>
    <w:pPr>
      <w:ind w:left="720"/>
      <w:contextualSpacing/>
    </w:pPr>
  </w:style>
  <w:style w:type="paragraph" w:styleId="a5">
    <w:name w:val="Title"/>
    <w:basedOn w:val="a"/>
    <w:next w:val="a"/>
    <w:link w:val="Char"/>
    <w:uiPriority w:val="10"/>
    <w:qFormat/>
    <w:rsid w:val="00954389"/>
    <w:pPr>
      <w:spacing w:after="300" w:line="240" w:lineRule="auto"/>
      <w:contextualSpacing/>
    </w:pPr>
    <w:rPr>
      <w:smallCaps/>
      <w:sz w:val="52"/>
      <w:szCs w:val="52"/>
    </w:rPr>
  </w:style>
  <w:style w:type="character" w:customStyle="1" w:styleId="Char">
    <w:name w:val="标题 Char"/>
    <w:basedOn w:val="a0"/>
    <w:link w:val="a5"/>
    <w:uiPriority w:val="10"/>
    <w:rsid w:val="00954389"/>
    <w:rPr>
      <w:smallCaps/>
      <w:sz w:val="52"/>
      <w:szCs w:val="52"/>
    </w:rPr>
  </w:style>
  <w:style w:type="paragraph" w:styleId="a6">
    <w:name w:val="Subtitle"/>
    <w:basedOn w:val="a"/>
    <w:next w:val="a"/>
    <w:link w:val="Char0"/>
    <w:uiPriority w:val="11"/>
    <w:qFormat/>
    <w:rsid w:val="00954389"/>
    <w:rPr>
      <w:i/>
      <w:iCs/>
      <w:smallCaps/>
      <w:spacing w:val="10"/>
      <w:sz w:val="28"/>
      <w:szCs w:val="28"/>
    </w:rPr>
  </w:style>
  <w:style w:type="character" w:customStyle="1" w:styleId="Char0">
    <w:name w:val="副标题 Char"/>
    <w:basedOn w:val="a0"/>
    <w:link w:val="a6"/>
    <w:uiPriority w:val="11"/>
    <w:rsid w:val="00954389"/>
    <w:rPr>
      <w:i/>
      <w:iCs/>
      <w:smallCaps/>
      <w:spacing w:val="10"/>
      <w:sz w:val="28"/>
      <w:szCs w:val="28"/>
    </w:rPr>
  </w:style>
  <w:style w:type="character" w:styleId="a7">
    <w:name w:val="Emphasis"/>
    <w:uiPriority w:val="20"/>
    <w:qFormat/>
    <w:rsid w:val="00954389"/>
    <w:rPr>
      <w:b/>
      <w:bCs/>
      <w:i/>
      <w:iCs/>
      <w:spacing w:val="10"/>
    </w:rPr>
  </w:style>
  <w:style w:type="paragraph" w:styleId="a8">
    <w:name w:val="No Spacing"/>
    <w:basedOn w:val="a"/>
    <w:link w:val="Char1"/>
    <w:uiPriority w:val="1"/>
    <w:qFormat/>
    <w:rsid w:val="00954389"/>
    <w:pPr>
      <w:spacing w:after="0" w:line="240" w:lineRule="auto"/>
    </w:pPr>
  </w:style>
  <w:style w:type="character" w:styleId="a9">
    <w:name w:val="Subtle Emphasis"/>
    <w:uiPriority w:val="19"/>
    <w:qFormat/>
    <w:rsid w:val="00954389"/>
    <w:rPr>
      <w:i/>
      <w:iCs/>
    </w:rPr>
  </w:style>
  <w:style w:type="character" w:customStyle="1" w:styleId="2Char">
    <w:name w:val="标题 2 Char"/>
    <w:basedOn w:val="a0"/>
    <w:link w:val="2"/>
    <w:uiPriority w:val="9"/>
    <w:semiHidden/>
    <w:rsid w:val="00954389"/>
    <w:rPr>
      <w:smallCaps/>
      <w:sz w:val="28"/>
      <w:szCs w:val="28"/>
    </w:rPr>
  </w:style>
  <w:style w:type="character" w:customStyle="1" w:styleId="3Char">
    <w:name w:val="标题 3 Char"/>
    <w:basedOn w:val="a0"/>
    <w:link w:val="3"/>
    <w:uiPriority w:val="9"/>
    <w:semiHidden/>
    <w:rsid w:val="00954389"/>
    <w:rPr>
      <w:i/>
      <w:iCs/>
      <w:smallCaps/>
      <w:spacing w:val="5"/>
      <w:sz w:val="26"/>
      <w:szCs w:val="26"/>
    </w:rPr>
  </w:style>
  <w:style w:type="character" w:customStyle="1" w:styleId="4Char">
    <w:name w:val="标题 4 Char"/>
    <w:basedOn w:val="a0"/>
    <w:link w:val="4"/>
    <w:uiPriority w:val="9"/>
    <w:semiHidden/>
    <w:rsid w:val="00954389"/>
    <w:rPr>
      <w:b/>
      <w:bCs/>
      <w:spacing w:val="5"/>
      <w:sz w:val="24"/>
      <w:szCs w:val="24"/>
    </w:rPr>
  </w:style>
  <w:style w:type="character" w:customStyle="1" w:styleId="5Char">
    <w:name w:val="标题 5 Char"/>
    <w:basedOn w:val="a0"/>
    <w:link w:val="5"/>
    <w:uiPriority w:val="9"/>
    <w:semiHidden/>
    <w:rsid w:val="00954389"/>
    <w:rPr>
      <w:i/>
      <w:iCs/>
      <w:sz w:val="24"/>
      <w:szCs w:val="24"/>
    </w:rPr>
  </w:style>
  <w:style w:type="character" w:customStyle="1" w:styleId="6Char">
    <w:name w:val="标题 6 Char"/>
    <w:basedOn w:val="a0"/>
    <w:link w:val="6"/>
    <w:uiPriority w:val="9"/>
    <w:semiHidden/>
    <w:rsid w:val="00954389"/>
    <w:rPr>
      <w:b/>
      <w:bCs/>
      <w:color w:val="595959" w:themeColor="text1" w:themeTint="A6"/>
      <w:spacing w:val="5"/>
      <w:shd w:val="clear" w:color="auto" w:fill="FFFFFF" w:themeFill="background1"/>
    </w:rPr>
  </w:style>
  <w:style w:type="character" w:customStyle="1" w:styleId="7Char">
    <w:name w:val="标题 7 Char"/>
    <w:basedOn w:val="a0"/>
    <w:link w:val="7"/>
    <w:uiPriority w:val="9"/>
    <w:semiHidden/>
    <w:rsid w:val="00954389"/>
    <w:rPr>
      <w:b/>
      <w:bCs/>
      <w:i/>
      <w:iCs/>
      <w:color w:val="5A5A5A" w:themeColor="text1" w:themeTint="A5"/>
      <w:sz w:val="20"/>
      <w:szCs w:val="20"/>
    </w:rPr>
  </w:style>
  <w:style w:type="character" w:customStyle="1" w:styleId="8Char">
    <w:name w:val="标题 8 Char"/>
    <w:basedOn w:val="a0"/>
    <w:link w:val="8"/>
    <w:uiPriority w:val="9"/>
    <w:semiHidden/>
    <w:rsid w:val="00954389"/>
    <w:rPr>
      <w:b/>
      <w:bCs/>
      <w:color w:val="7F7F7F" w:themeColor="text1" w:themeTint="80"/>
      <w:sz w:val="20"/>
      <w:szCs w:val="20"/>
    </w:rPr>
  </w:style>
  <w:style w:type="character" w:customStyle="1" w:styleId="9Char">
    <w:name w:val="标题 9 Char"/>
    <w:basedOn w:val="a0"/>
    <w:link w:val="9"/>
    <w:uiPriority w:val="9"/>
    <w:semiHidden/>
    <w:rsid w:val="00954389"/>
    <w:rPr>
      <w:b/>
      <w:bCs/>
      <w:i/>
      <w:iCs/>
      <w:color w:val="7F7F7F" w:themeColor="text1" w:themeTint="80"/>
      <w:sz w:val="18"/>
      <w:szCs w:val="18"/>
    </w:rPr>
  </w:style>
  <w:style w:type="character" w:customStyle="1" w:styleId="Char1">
    <w:name w:val="无间隔 Char"/>
    <w:basedOn w:val="a0"/>
    <w:link w:val="a8"/>
    <w:uiPriority w:val="1"/>
    <w:rsid w:val="00954389"/>
  </w:style>
  <w:style w:type="paragraph" w:styleId="aa">
    <w:name w:val="Quote"/>
    <w:basedOn w:val="a"/>
    <w:next w:val="a"/>
    <w:link w:val="Char2"/>
    <w:uiPriority w:val="29"/>
    <w:qFormat/>
    <w:rsid w:val="00954389"/>
    <w:rPr>
      <w:i/>
      <w:iCs/>
    </w:rPr>
  </w:style>
  <w:style w:type="character" w:customStyle="1" w:styleId="Char2">
    <w:name w:val="引用 Char"/>
    <w:basedOn w:val="a0"/>
    <w:link w:val="aa"/>
    <w:uiPriority w:val="29"/>
    <w:rsid w:val="00954389"/>
    <w:rPr>
      <w:i/>
      <w:iCs/>
    </w:rPr>
  </w:style>
  <w:style w:type="paragraph" w:styleId="ab">
    <w:name w:val="Intense Quote"/>
    <w:basedOn w:val="a"/>
    <w:next w:val="a"/>
    <w:link w:val="Char3"/>
    <w:uiPriority w:val="30"/>
    <w:qFormat/>
    <w:rsid w:val="00954389"/>
    <w:pPr>
      <w:pBdr>
        <w:top w:val="single" w:sz="4" w:space="10" w:color="auto"/>
        <w:bottom w:val="single" w:sz="4" w:space="10" w:color="auto"/>
      </w:pBdr>
      <w:spacing w:before="240" w:after="240" w:line="300" w:lineRule="auto"/>
      <w:ind w:left="1152" w:right="1152"/>
      <w:jc w:val="both"/>
    </w:pPr>
    <w:rPr>
      <w:i/>
      <w:iCs/>
    </w:rPr>
  </w:style>
  <w:style w:type="character" w:customStyle="1" w:styleId="Char3">
    <w:name w:val="明显引用 Char"/>
    <w:basedOn w:val="a0"/>
    <w:link w:val="ab"/>
    <w:uiPriority w:val="30"/>
    <w:rsid w:val="00954389"/>
    <w:rPr>
      <w:i/>
      <w:iCs/>
    </w:rPr>
  </w:style>
  <w:style w:type="character" w:styleId="ac">
    <w:name w:val="Intense Emphasis"/>
    <w:uiPriority w:val="21"/>
    <w:qFormat/>
    <w:rsid w:val="00954389"/>
    <w:rPr>
      <w:b/>
      <w:bCs/>
      <w:i/>
      <w:iCs/>
    </w:rPr>
  </w:style>
  <w:style w:type="character" w:styleId="ad">
    <w:name w:val="Subtle Reference"/>
    <w:basedOn w:val="a0"/>
    <w:uiPriority w:val="31"/>
    <w:qFormat/>
    <w:rsid w:val="00954389"/>
    <w:rPr>
      <w:smallCaps/>
    </w:rPr>
  </w:style>
  <w:style w:type="character" w:styleId="ae">
    <w:name w:val="Intense Reference"/>
    <w:uiPriority w:val="32"/>
    <w:qFormat/>
    <w:rsid w:val="00954389"/>
    <w:rPr>
      <w:b/>
      <w:bCs/>
      <w:smallCaps/>
    </w:rPr>
  </w:style>
  <w:style w:type="character" w:styleId="af">
    <w:name w:val="Book Title"/>
    <w:basedOn w:val="a0"/>
    <w:uiPriority w:val="33"/>
    <w:qFormat/>
    <w:rsid w:val="00954389"/>
    <w:rPr>
      <w:i/>
      <w:iCs/>
      <w:smallCaps/>
      <w:spacing w:val="5"/>
    </w:rPr>
  </w:style>
  <w:style w:type="paragraph" w:styleId="TOC">
    <w:name w:val="TOC Heading"/>
    <w:basedOn w:val="1"/>
    <w:next w:val="a"/>
    <w:uiPriority w:val="39"/>
    <w:semiHidden/>
    <w:unhideWhenUsed/>
    <w:qFormat/>
    <w:rsid w:val="00954389"/>
    <w:pPr>
      <w:outlineLvl w:val="9"/>
    </w:pPr>
  </w:style>
</w:styles>
</file>

<file path=word/webSettings.xml><?xml version="1.0" encoding="utf-8"?>
<w:webSettings xmlns:r="http://schemas.openxmlformats.org/officeDocument/2006/relationships" xmlns:w="http://schemas.openxmlformats.org/wordprocessingml/2006/main">
  <w:divs>
    <w:div w:id="184323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行云流水">
  <a:themeElements>
    <a:clrScheme name="行云流水">
      <a:dk1>
        <a:sysClr val="windowText" lastClr="000000"/>
      </a:dk1>
      <a:lt1>
        <a:sysClr val="window" lastClr="FFFFFF"/>
      </a:lt1>
      <a:dk2>
        <a:srgbClr val="411401"/>
      </a:dk2>
      <a:lt2>
        <a:srgbClr val="FFE6E6"/>
      </a:lt2>
      <a:accent1>
        <a:srgbClr val="A24A48"/>
      </a:accent1>
      <a:accent2>
        <a:srgbClr val="B2935C"/>
      </a:accent2>
      <a:accent3>
        <a:srgbClr val="6A9A9A"/>
      </a:accent3>
      <a:accent4>
        <a:srgbClr val="B2B787"/>
      </a:accent4>
      <a:accent5>
        <a:srgbClr val="91644B"/>
      </a:accent5>
      <a:accent6>
        <a:srgbClr val="654A76"/>
      </a:accent6>
      <a:hlink>
        <a:srgbClr val="00A800"/>
      </a:hlink>
      <a:folHlink>
        <a:srgbClr val="FF00FF"/>
      </a:folHlink>
    </a:clrScheme>
    <a:fontScheme name="行云流水">
      <a:majorFont>
        <a:latin typeface="Cambria"/>
        <a:ea typeface=""/>
        <a:cs typeface=""/>
        <a:font script="Jpan" typeface="ＭＳ Ｐゴシック"/>
        <a:font script="Hang" typeface="맑은 고딕"/>
        <a:font script="Hans" typeface="华文行楷"/>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alibri"/>
        <a:ea typeface=""/>
        <a:cs typeface=""/>
        <a:font script="Jpan" typeface="ＭＳ Ｐ明朝"/>
        <a:font script="Hang" typeface="HY견명조"/>
        <a:font script="Hans" typeface="华文行楷"/>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沉稳">
      <a:fillStyleLst>
        <a:solidFill>
          <a:schemeClr val="phClr"/>
        </a:solidFill>
        <a:gradFill rotWithShape="1">
          <a:gsLst>
            <a:gs pos="0">
              <a:schemeClr val="phClr">
                <a:tint val="70000"/>
                <a:satMod val="180000"/>
              </a:schemeClr>
            </a:gs>
            <a:gs pos="62000">
              <a:schemeClr val="phClr">
                <a:tint val="30000"/>
                <a:satMod val="180000"/>
              </a:schemeClr>
            </a:gs>
            <a:gs pos="100000">
              <a:schemeClr val="phClr">
                <a:tint val="22000"/>
                <a:satMod val="180000"/>
              </a:schemeClr>
            </a:gs>
          </a:gsLst>
          <a:lin ang="16200000" scaled="0"/>
        </a:gradFill>
        <a:gradFill rotWithShape="1">
          <a:gsLst>
            <a:gs pos="0">
              <a:schemeClr val="phClr">
                <a:shade val="58000"/>
                <a:satMod val="150000"/>
              </a:schemeClr>
            </a:gs>
            <a:gs pos="72000">
              <a:schemeClr val="phClr">
                <a:tint val="90000"/>
                <a:satMod val="135000"/>
              </a:schemeClr>
            </a:gs>
            <a:gs pos="100000">
              <a:schemeClr val="phClr">
                <a:tint val="80000"/>
                <a:satMod val="155000"/>
              </a:schemeClr>
            </a:gs>
          </a:gsLst>
          <a:lin ang="16200000" scaled="0"/>
        </a:gradFill>
      </a:fillStyleLst>
      <a:lnStyleLst>
        <a:ln w="9525" cap="flat" cmpd="sng" algn="ctr">
          <a:solidFill>
            <a:schemeClr val="phClr">
              <a:shade val="80000"/>
            </a:schemeClr>
          </a:solidFill>
          <a:prstDash val="solid"/>
        </a:ln>
        <a:ln w="38100" cap="flat" cmpd="sng" algn="ctr">
          <a:solidFill>
            <a:schemeClr val="phClr"/>
          </a:solidFill>
          <a:prstDash val="solid"/>
        </a:ln>
        <a:ln w="38100" cap="flat" cmpd="sng" algn="ctr">
          <a:solidFill>
            <a:schemeClr val="phClr"/>
          </a:solidFill>
          <a:prstDash val="solid"/>
        </a:ln>
      </a:lnStyleLst>
      <a:effectStyleLst>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scene3d>
            <a:camera prst="orthographicFront" fov="0">
              <a:rot lat="0" lon="0" rev="0"/>
            </a:camera>
            <a:lightRig rig="soft" dir="tl">
              <a:rot lat="0" lon="0" rev="20000000"/>
            </a:lightRig>
          </a:scene3d>
          <a:sp3d prstMaterial="matte">
            <a:bevelT w="63500" h="63500" prst="coolSlant"/>
          </a:sp3d>
        </a:effectStyle>
      </a:effectStyleLst>
      <a:bgFillStyleLst>
        <a:solidFill>
          <a:schemeClr val="phClr"/>
        </a:solidFill>
        <a:gradFill rotWithShape="1">
          <a:gsLst>
            <a:gs pos="0">
              <a:schemeClr val="phClr">
                <a:tint val="100000"/>
                <a:shade val="80000"/>
                <a:hueMod val="100000"/>
                <a:satMod val="300000"/>
              </a:schemeClr>
            </a:gs>
            <a:gs pos="72000">
              <a:schemeClr val="phClr">
                <a:tint val="100000"/>
                <a:shade val="100000"/>
                <a:hueMod val="100000"/>
                <a:satMod val="100000"/>
              </a:schemeClr>
            </a:gs>
            <a:gs pos="81000">
              <a:schemeClr val="phClr">
                <a:tint val="98000"/>
                <a:shade val="100000"/>
                <a:hueMod val="100000"/>
                <a:satMod val="150000"/>
              </a:schemeClr>
            </a:gs>
            <a:gs pos="100000">
              <a:schemeClr val="phClr">
                <a:tint val="100000"/>
                <a:shade val="100000"/>
                <a:hueMod val="100000"/>
                <a:satMod val="200000"/>
              </a:schemeClr>
            </a:gs>
          </a:gsLst>
          <a:lin ang="16200000" scaled="1"/>
        </a:gradFill>
        <a:blipFill>
          <a:blip xmlns:r="http://schemas.openxmlformats.org/officeDocument/2006/relationships" r:embed="rId1">
            <a:duotone>
              <a:schemeClr val="phClr">
                <a:tint val="100000"/>
                <a:shade val="39000"/>
                <a:hueMod val="100000"/>
                <a:satMod val="150000"/>
              </a:schemeClr>
              <a:schemeClr val="phClr">
                <a:tint val="90000"/>
                <a:shade val="100000"/>
                <a:hueMod val="100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renshike</dc:creator>
  <cp:lastModifiedBy>renshike</cp:lastModifiedBy>
  <cp:revision>1</cp:revision>
  <dcterms:created xsi:type="dcterms:W3CDTF">2016-03-28T03:28:00Z</dcterms:created>
  <dcterms:modified xsi:type="dcterms:W3CDTF">2016-03-28T03:28:00Z</dcterms:modified>
</cp:coreProperties>
</file>