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AD" w:rsidRDefault="00762AAD" w:rsidP="00762AAD">
      <w:pPr>
        <w:adjustRightInd w:val="0"/>
        <w:snapToGrid w:val="0"/>
        <w:jc w:val="center"/>
        <w:rPr>
          <w:rFonts w:ascii="宋体" w:hAnsi="宋体" w:hint="eastAsia"/>
          <w:b/>
          <w:sz w:val="32"/>
          <w:szCs w:val="32"/>
        </w:rPr>
      </w:pPr>
      <w:r>
        <w:rPr>
          <w:rFonts w:ascii="宋体" w:hAnsi="宋体" w:hint="eastAsia"/>
          <w:b/>
          <w:sz w:val="32"/>
          <w:szCs w:val="32"/>
        </w:rPr>
        <w:t>2017年安徽省中小学新任教师公开招聘统一笔试</w:t>
      </w:r>
    </w:p>
    <w:p w:rsidR="00762AAD" w:rsidRDefault="00762AAD" w:rsidP="00762AAD">
      <w:pPr>
        <w:adjustRightInd w:val="0"/>
        <w:snapToGrid w:val="0"/>
        <w:jc w:val="center"/>
        <w:rPr>
          <w:rFonts w:ascii="宋体" w:hAnsi="宋体" w:hint="eastAsia"/>
          <w:b/>
          <w:sz w:val="32"/>
          <w:szCs w:val="32"/>
        </w:rPr>
      </w:pPr>
      <w:r>
        <w:rPr>
          <w:rFonts w:ascii="宋体" w:hAnsi="宋体" w:hint="eastAsia"/>
          <w:b/>
          <w:sz w:val="32"/>
          <w:szCs w:val="32"/>
        </w:rPr>
        <w:t>小学体育与健康考试大纲</w:t>
      </w:r>
    </w:p>
    <w:p w:rsidR="00762AAD" w:rsidRDefault="00762AAD" w:rsidP="00762AAD">
      <w:pPr>
        <w:adjustRightInd w:val="0"/>
        <w:snapToGrid w:val="0"/>
        <w:ind w:firstLineChars="200" w:firstLine="560"/>
        <w:rPr>
          <w:rFonts w:ascii="黑体" w:eastAsia="黑体" w:hAnsi="宋体" w:cs="宋体"/>
          <w:color w:val="auto"/>
          <w:sz w:val="28"/>
          <w:szCs w:val="28"/>
        </w:rPr>
      </w:pPr>
      <w:r>
        <w:rPr>
          <w:rFonts w:ascii="黑体" w:eastAsia="黑体" w:hAnsi="宋体" w:cs="宋体" w:hint="eastAsia"/>
          <w:color w:val="auto"/>
          <w:sz w:val="28"/>
          <w:szCs w:val="28"/>
        </w:rPr>
        <w:t>一、考试性质</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安徽省中小学新任教师公开招聘考试是为全省教育行政部门招聘教师而进行的统一、公开的选拔性考试，是落实“省考、县管、校用”教师管理体制的基础工作。其目的是吸引有志于从事基础教育事业的优秀人才到中小学任教，进一步规范中小学新任教师公开招聘工作，把好教师“入口关”。招聘考试从教师相应岗位的专业素质和教育教学能力等方面进行全面考核，择优录取。招聘考试应具有较高的信度、效度，必要的区分度和适当的难度。</w:t>
      </w:r>
    </w:p>
    <w:p w:rsidR="00762AAD" w:rsidRDefault="00762AAD" w:rsidP="00762AAD">
      <w:pPr>
        <w:adjustRightInd w:val="0"/>
        <w:snapToGrid w:val="0"/>
        <w:ind w:firstLineChars="200" w:firstLine="560"/>
        <w:rPr>
          <w:rFonts w:ascii="黑体" w:eastAsia="黑体" w:hAnsi="宋体" w:cs="宋体" w:hint="eastAsia"/>
          <w:color w:val="auto"/>
          <w:sz w:val="28"/>
          <w:szCs w:val="28"/>
        </w:rPr>
      </w:pPr>
      <w:r>
        <w:rPr>
          <w:rFonts w:ascii="黑体" w:eastAsia="黑体" w:hAnsi="宋体" w:cs="宋体" w:hint="eastAsia"/>
          <w:color w:val="auto"/>
          <w:sz w:val="28"/>
          <w:szCs w:val="28"/>
        </w:rPr>
        <w:t>二、考试目标与要求</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在考查基础知识的同时注重考查综合素质，突出能力为主的命题指导思想，将知识、能力和素质融为一体，着重考查考生对体育与健康专业相关文件与课程标准、专业基础理论知识、专业技能知识、学科课程与教学论及应用的掌握程度；考查运用基本理论、基础知识与方法分析和解决有关小学体育与健康教学问题的能力；考查是否具备从事小学体育与健康教育教学工作所必备的基本教学技能和持续发展专业素养的能力。考查具体目标如下：</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1.考查考生对学校体育相关法律法规及重要文件的了解程度。</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考查考生对《全日制义务教育体育与健康课程标准（2011版）》所要求的体育与健康专业基础理论知识和专业技能知识，以及安徽省目前使用的小学体育与健康教师用书和《国家学生体质健康标准》内容与测试方法的理解和掌握程度。</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3.考查考生对学校体育学、体育心理学、运动解剖学、运动生理学、体育保健学等基础理论知识的掌握和应用。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4.考查考生对田径、球类、体操、武术、游泳等运动专项技能知识、竞赛的组织、裁判法的掌握和运用能力。</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5.考查考生对体育与健康学科课程与教学论的掌握和运用能力。</w:t>
      </w:r>
    </w:p>
    <w:p w:rsidR="00762AAD" w:rsidRDefault="00762AAD" w:rsidP="00762AAD">
      <w:pPr>
        <w:adjustRightInd w:val="0"/>
        <w:snapToGrid w:val="0"/>
        <w:ind w:firstLineChars="200" w:firstLine="560"/>
        <w:rPr>
          <w:rFonts w:ascii="黑体" w:eastAsia="黑体" w:hAnsi="宋体" w:cs="宋体" w:hint="eastAsia"/>
          <w:color w:val="auto"/>
          <w:sz w:val="28"/>
          <w:szCs w:val="28"/>
        </w:rPr>
      </w:pPr>
      <w:r>
        <w:rPr>
          <w:rFonts w:ascii="黑体" w:eastAsia="黑体" w:hAnsi="宋体" w:cs="宋体" w:hint="eastAsia"/>
          <w:color w:val="auto"/>
          <w:sz w:val="28"/>
          <w:szCs w:val="28"/>
        </w:rPr>
        <w:t>三、考试内容范围</w:t>
      </w:r>
    </w:p>
    <w:p w:rsidR="00762AAD" w:rsidRDefault="00762AAD" w:rsidP="00762AAD">
      <w:pPr>
        <w:widowControl/>
        <w:adjustRightInd w:val="0"/>
        <w:snapToGrid w:val="0"/>
        <w:ind w:firstLineChars="196" w:firstLine="549"/>
        <w:rPr>
          <w:rFonts w:eastAsia="仿宋_GB2312" w:hint="eastAsia"/>
          <w:b/>
          <w:color w:val="auto"/>
          <w:sz w:val="28"/>
          <w:szCs w:val="28"/>
        </w:rPr>
      </w:pPr>
      <w:r>
        <w:rPr>
          <w:rFonts w:eastAsia="仿宋_GB2312" w:hint="eastAsia"/>
          <w:b/>
          <w:color w:val="auto"/>
          <w:sz w:val="28"/>
          <w:szCs w:val="28"/>
        </w:rPr>
        <w:t>（一）相关文件与课程标准</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lastRenderedPageBreak/>
        <w:t>1.了解《中共中央国务院关于加强青少年体育，增强青少年体质的意见》、《国务院办公厅转发教育部等部门关于进一步加强学校体育工作若干意见的通知》（国办发[2012]53号）、《学校体育工作条例》、《学校卫生工作条例》和《国家学校体育卫生条件试行基本标准》的内容和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2.理解体育与健康课程性质和基本理念。</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3.掌握体育与健康课程的功能与目标。</w:t>
      </w:r>
    </w:p>
    <w:p w:rsidR="00762AAD" w:rsidRDefault="00762AAD" w:rsidP="00762AAD">
      <w:pPr>
        <w:widowControl/>
        <w:adjustRightInd w:val="0"/>
        <w:snapToGrid w:val="0"/>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4.理解小学各水平阶段的课程内容及要求。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5.掌握现行体育与健康课程标准中关于“教学建议、教学评价建议”的内容。</w:t>
      </w:r>
    </w:p>
    <w:p w:rsidR="00762AAD" w:rsidRDefault="00762AAD" w:rsidP="00762AAD">
      <w:pPr>
        <w:widowControl/>
        <w:adjustRightInd w:val="0"/>
        <w:snapToGrid w:val="0"/>
        <w:ind w:firstLineChars="196" w:firstLine="549"/>
        <w:rPr>
          <w:rFonts w:eastAsia="仿宋_GB2312" w:hint="eastAsia"/>
          <w:b/>
          <w:color w:val="auto"/>
          <w:sz w:val="28"/>
          <w:szCs w:val="28"/>
        </w:rPr>
      </w:pPr>
      <w:r>
        <w:rPr>
          <w:rFonts w:eastAsia="仿宋_GB2312" w:hint="eastAsia"/>
          <w:b/>
          <w:color w:val="auto"/>
          <w:sz w:val="28"/>
          <w:szCs w:val="28"/>
        </w:rPr>
        <w:t>（二）专业基础理论知识</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1.学校体育学</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（1）了解学校体育的产生与发展和学校体育目标。</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（2）掌握《国家学生体质健康标准》的实施办法及测试操作方法与内容要求。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（3）掌握体育与健康课、早锻炼、大课间、课外体育活动、课余体育训练和课余体育竞赛的内容、组织形式和方法。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（4）掌握发展小学生身体素质的训练方法、手段及基本要求。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（5）掌握体育教师的基本职责和应具备的基本条件。</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2.体育心理学</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（1）掌握体育锻炼与心理健康的关系、体育与意志品质的培养。</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（2）掌握运动技能形成的规律和阶段特征。</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（3）掌握体育道德的内涵，知晓怎样进行体育道德教育。</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（4）掌握体育学习动机、兴趣、态度基本理论。</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3.运动解剖学</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（1）了解解剖学姿势、基本切面与基本轴、解剖学方位术语。</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（2）掌握运动系统的构成及其功能。运动系统各器官的名称、运动特点，以及体育运动对运动系统的影响。</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（3）了解消化系统、呼吸系统、神经系统的构成和功能以及体育运动对该系统的影响。</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lastRenderedPageBreak/>
        <w:t>（4）了解心血管系统的构成、功能,以及体育运动对该系统的影响。</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4.运动生理学</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（1）掌握肌肉活动时三大供能系统特点及应用。</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（2）掌握身体素质的生理基础。</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（3）掌握心血管系统对运动的反应和适应规律。</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（4）掌握少年儿童、女生的生理特点以及体育教学训练中应注意的问题。</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（5）了解运动处方的制定方法。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（6）掌握肥胖的判定指标与方法。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5.体育保健学</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（1）了解简单判断疲劳的方法及运动性疲劳的恢复手段。</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（2）了解营养素的概念和三大营养素的生理功能，懂得合理膳食。</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（3）掌握体育与健康课、早锻炼、大课间、课外体育活动和课余体育训练的医务监督与要求。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（4）掌握运动损伤、重力休克、溺水的原因、症状、预防与处理方法。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（5）理解健康的概念及影响因素。</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（6）了解我国传统养生思想和方法。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6.其他</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（1）掌握体育游戏的创编原则和方法。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（2）掌握奥林匹克运动的基本知识。</w:t>
      </w:r>
    </w:p>
    <w:p w:rsidR="00762AAD" w:rsidRDefault="00762AAD" w:rsidP="00762AAD">
      <w:pPr>
        <w:widowControl/>
        <w:adjustRightInd w:val="0"/>
        <w:snapToGrid w:val="0"/>
        <w:ind w:firstLineChars="196" w:firstLine="549"/>
        <w:rPr>
          <w:rFonts w:eastAsia="仿宋_GB2312" w:hint="eastAsia"/>
          <w:b/>
          <w:color w:val="auto"/>
          <w:sz w:val="28"/>
          <w:szCs w:val="28"/>
        </w:rPr>
      </w:pPr>
      <w:r>
        <w:rPr>
          <w:rFonts w:eastAsia="仿宋_GB2312" w:hint="eastAsia"/>
          <w:b/>
          <w:color w:val="auto"/>
          <w:sz w:val="28"/>
          <w:szCs w:val="28"/>
        </w:rPr>
        <w:t>（三）</w:t>
      </w:r>
      <w:r>
        <w:rPr>
          <w:rFonts w:eastAsia="仿宋_GB2312" w:hint="eastAsia"/>
          <w:b/>
          <w:color w:val="auto"/>
          <w:sz w:val="28"/>
          <w:szCs w:val="28"/>
        </w:rPr>
        <w:t xml:space="preserve"> </w:t>
      </w:r>
      <w:r>
        <w:rPr>
          <w:rFonts w:eastAsia="仿宋_GB2312" w:hint="eastAsia"/>
          <w:b/>
          <w:color w:val="auto"/>
          <w:sz w:val="28"/>
          <w:szCs w:val="28"/>
        </w:rPr>
        <w:t>专业技能知识</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1.田径（走  快速跑  耐久跑  接力跑  跨越式跳高  蹲踞式跳远  抛掷实心球  攀爬障碍）</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（1）了解走、跑、跳、投、攀、爬等基本活动类项目的基本知识，健身价值及教学中的注意事项。</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（2）掌握基本活动类项目的技术原理、动作要领及教与学策略。</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（3）掌握田径竞赛规则、裁判方法，并能结合实际组织、编排各种形式的比赛。</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lastRenderedPageBreak/>
        <w:t>（4）运用基本活动类项目创编游戏。</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2.球类（篮球  足球  软式排球  乒乓球  羽毛球）</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（1）了解篮球、足球、软式排球、乒乓球、羽毛球运动的基本知识、健身价值及教学中应注意的问题。</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（2）掌握篮球、足球、软式排球、乒乓球、羽毛球运动的基本技术、动作要领、教与学策略。</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（3）了解篮球、足球、软式排球、乒乓球、羽毛球的基本战术、训练方法及课余运动队训练的基本要求。</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（4）掌握篮球、足球、软式排球、乒乓球、羽毛球运动的竞赛规则和裁判法，并能合理的组织、编排学校竞赛活动。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（5）能利用各种球类创编球操与游戏。</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3.体操（队列队形 基本体操 韵律体操 技巧 单杠 双杠 支撑跳跃）</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（1）了解体操运动的分类、基本知识及体操类运动对促进身心健康的作用。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（2）掌握各项体操运动的技术原理、动作要领及教与学策略。</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（3）掌握体操运动中保护与帮助的意义、方法和运用。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（4）了解体操组织竞赛与编排方法、竞赛规则和裁判方法。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（5）了解体操运动项目的场地要求及安全防范措施。</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（6）掌握体操基本动作的组合与编排。</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（7）了解团体操的创编原则与方法。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4.武术（武术健身操  少年拳）</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（1）了解武术的分类、基本知识、技术动作的攻防意义及武术运动对促进身心健康的作用。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（2）掌握武术动作要领、练习方法和教学方法。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（3）了解武术的图解知识及识图方法。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（4）了解武术组合动作创编的原则与方法。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（5）掌握竞赛规则和裁判方法。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5.游泳（蛙泳 爬泳）</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（1）了解游泳的健康与卫生常识，以及游泳运动对促进身心健康的作用。</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lastRenderedPageBreak/>
        <w:t>（2）掌握游泳运动的安全防范措施以及自救的方法与常识。</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（3）掌握技术动作要领、练习方法和教学方法。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（4）掌握各种技术动作的训练方法及课余运动队训练的要求。</w:t>
      </w:r>
    </w:p>
    <w:p w:rsidR="00762AAD" w:rsidRDefault="00762AAD" w:rsidP="00762AAD">
      <w:pPr>
        <w:widowControl/>
        <w:adjustRightInd w:val="0"/>
        <w:snapToGrid w:val="0"/>
        <w:ind w:firstLineChars="196" w:firstLine="549"/>
        <w:rPr>
          <w:rFonts w:eastAsia="仿宋_GB2312" w:hint="eastAsia"/>
          <w:b/>
          <w:color w:val="auto"/>
          <w:sz w:val="28"/>
          <w:szCs w:val="28"/>
        </w:rPr>
      </w:pPr>
      <w:r>
        <w:rPr>
          <w:rFonts w:eastAsia="仿宋_GB2312" w:hint="eastAsia"/>
          <w:b/>
          <w:color w:val="auto"/>
          <w:sz w:val="28"/>
          <w:szCs w:val="28"/>
        </w:rPr>
        <w:t>（四）</w:t>
      </w:r>
      <w:r>
        <w:rPr>
          <w:rFonts w:eastAsia="仿宋_GB2312" w:hint="eastAsia"/>
          <w:b/>
          <w:color w:val="auto"/>
          <w:sz w:val="28"/>
          <w:szCs w:val="28"/>
        </w:rPr>
        <w:t xml:space="preserve"> </w:t>
      </w:r>
      <w:r>
        <w:rPr>
          <w:rFonts w:eastAsia="仿宋_GB2312" w:hint="eastAsia"/>
          <w:b/>
          <w:color w:val="auto"/>
          <w:sz w:val="28"/>
          <w:szCs w:val="28"/>
        </w:rPr>
        <w:t>学科课程与教学论及应用</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1.了解体育与健康教学的特点、规律和原则。</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2.掌握制定体育与健康教学目标的依据和具体要求。</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3.了解体育与健康课的类型、结构。</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4.掌握体育与健康课堂教学常用的教学方法和组织形式。</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5.了解体育与健康课程资源开发的内容、途径和方法。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6.能运用体育与健康专业相关知识对所提供的教材，结合实际条件进行教学设计。</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7.掌握体育与健康课程评价的内容与方法。</w:t>
      </w:r>
    </w:p>
    <w:p w:rsidR="00762AAD" w:rsidRDefault="00762AAD" w:rsidP="00762AAD">
      <w:pPr>
        <w:widowControl/>
        <w:adjustRightInd w:val="0"/>
        <w:snapToGrid w:val="0"/>
        <w:spacing w:line="440" w:lineRule="exact"/>
        <w:ind w:firstLineChars="196" w:firstLine="549"/>
        <w:rPr>
          <w:rFonts w:ascii="仿宋_GB2312" w:eastAsia="仿宋_GB2312" w:hAnsi="宋体" w:cs="华文新魏" w:hint="eastAsia"/>
          <w:sz w:val="28"/>
          <w:szCs w:val="28"/>
        </w:rPr>
      </w:pPr>
      <w:r>
        <w:rPr>
          <w:rFonts w:ascii="仿宋_GB2312" w:eastAsia="仿宋_GB2312" w:hAnsi="宋体" w:cs="华文新魏" w:hint="eastAsia"/>
          <w:sz w:val="28"/>
          <w:szCs w:val="28"/>
        </w:rPr>
        <w:t>8. 能综合运用体育与健康专业相关知识对教学案例和相关材料等进行评析。</w:t>
      </w:r>
    </w:p>
    <w:p w:rsidR="00762AAD" w:rsidRDefault="00762AAD" w:rsidP="00762AAD">
      <w:pPr>
        <w:adjustRightInd w:val="0"/>
        <w:snapToGrid w:val="0"/>
        <w:ind w:firstLineChars="200" w:firstLine="560"/>
        <w:rPr>
          <w:rFonts w:ascii="黑体" w:eastAsia="黑体" w:hAnsi="宋体" w:cs="宋体" w:hint="eastAsia"/>
          <w:color w:val="auto"/>
          <w:sz w:val="28"/>
          <w:szCs w:val="28"/>
        </w:rPr>
      </w:pPr>
      <w:r>
        <w:rPr>
          <w:rFonts w:ascii="黑体" w:eastAsia="黑体" w:hAnsi="宋体" w:cs="宋体" w:hint="eastAsia"/>
          <w:color w:val="auto"/>
          <w:sz w:val="28"/>
          <w:szCs w:val="28"/>
        </w:rPr>
        <w:t>四、考试形式和试卷结构</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1．考试形式：闭卷、笔试。</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2. 考试时间150 分钟，试卷分值120分。</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3．主要题型：选择题、判断题、填空题、匹配题、简答题、论述题、案例分析题、教学设计。</w:t>
      </w:r>
    </w:p>
    <w:p w:rsidR="00762AAD" w:rsidRDefault="00762AAD" w:rsidP="00762AAD">
      <w:pPr>
        <w:widowControl/>
        <w:adjustRightInd w:val="0"/>
        <w:snapToGrid w:val="0"/>
        <w:spacing w:line="440" w:lineRule="exact"/>
        <w:ind w:firstLineChars="196" w:firstLine="549"/>
        <w:rPr>
          <w:rFonts w:ascii="仿宋_GB2312" w:eastAsia="仿宋_GB2312" w:hAnsi="宋体" w:cs="宋体" w:hint="eastAsia"/>
          <w:color w:val="auto"/>
          <w:sz w:val="28"/>
          <w:szCs w:val="28"/>
        </w:rPr>
      </w:pPr>
      <w:r>
        <w:rPr>
          <w:rFonts w:ascii="仿宋_GB2312" w:eastAsia="仿宋_GB2312" w:hAnsi="宋体" w:cs="宋体" w:hint="eastAsia"/>
          <w:color w:val="auto"/>
          <w:sz w:val="28"/>
          <w:szCs w:val="28"/>
        </w:rPr>
        <w:t>3．内容比例：学科专业知识约占70%，课程与教学论约占30%。</w:t>
      </w:r>
    </w:p>
    <w:p w:rsidR="00762AAD" w:rsidRDefault="00762AAD" w:rsidP="00762AAD">
      <w:pPr>
        <w:widowControl/>
        <w:adjustRightInd w:val="0"/>
        <w:snapToGrid w:val="0"/>
        <w:spacing w:line="440" w:lineRule="exact"/>
        <w:ind w:firstLineChars="196" w:firstLine="549"/>
        <w:rPr>
          <w:rFonts w:ascii="仿宋_GB2312" w:eastAsia="仿宋_GB2312" w:hAnsi="宋体" w:cs="宋体"/>
          <w:color w:val="auto"/>
          <w:sz w:val="28"/>
          <w:szCs w:val="28"/>
        </w:rPr>
      </w:pPr>
    </w:p>
    <w:p w:rsidR="00C96382" w:rsidRPr="00762AAD" w:rsidRDefault="00C96382" w:rsidP="00762AAD"/>
    <w:sectPr w:rsidR="00C96382" w:rsidRPr="00762AAD" w:rsidSect="00BE15B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ED" w:rsidRDefault="007849ED" w:rsidP="00B51086">
      <w:r>
        <w:separator/>
      </w:r>
    </w:p>
  </w:endnote>
  <w:endnote w:type="continuationSeparator" w:id="1">
    <w:p w:rsidR="007849ED" w:rsidRDefault="007849ED" w:rsidP="00B5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B7" w:rsidRPr="00FF5CB7" w:rsidRDefault="007A3231" w:rsidP="00FF5CB7">
    <w:pPr>
      <w:pStyle w:val="a4"/>
      <w:jc w:val="center"/>
      <w:rPr>
        <w:sz w:val="21"/>
        <w:szCs w:val="21"/>
      </w:rPr>
    </w:pPr>
    <w:r>
      <w:rPr>
        <w:noProof/>
        <w:sz w:val="21"/>
        <w:szCs w:val="21"/>
      </w:rPr>
      <w:pict>
        <v:shapetype id="_x0000_t32" coordsize="21600,21600" o:spt="32" o:oned="t" path="m,l21600,21600e" filled="f">
          <v:path arrowok="t" fillok="f" o:connecttype="none"/>
          <o:lock v:ext="edit" shapetype="t"/>
        </v:shapetype>
        <v:shape id="_x0000_s1025" type="#_x0000_t32" style="position:absolute;left:0;text-align:left;margin-left:0;margin-top:-4.9pt;width:414pt;height:0;z-index:251658240" o:connectortype="straight"/>
      </w:pict>
    </w:r>
    <w:r w:rsidR="00FF5CB7" w:rsidRPr="00FF5CB7">
      <w:rPr>
        <w:rFonts w:hint="eastAsia"/>
        <w:sz w:val="21"/>
        <w:szCs w:val="21"/>
      </w:rPr>
      <w:t>第</w:t>
    </w:r>
    <w:r w:rsidR="00FF5CB7" w:rsidRPr="006B6A60">
      <w:rPr>
        <w:rFonts w:asciiTheme="majorHAnsi" w:hAnsiTheme="majorHAnsi"/>
        <w:noProof/>
        <w:sz w:val="28"/>
        <w:szCs w:val="28"/>
        <w:lang w:val="zh-CN"/>
      </w:rPr>
      <w:t>-</w:t>
    </w:r>
    <w:r w:rsidRPr="00FF5CB7">
      <w:rPr>
        <w:sz w:val="21"/>
        <w:szCs w:val="21"/>
      </w:rPr>
      <w:fldChar w:fldCharType="begin"/>
    </w:r>
    <w:r w:rsidR="00FF5CB7" w:rsidRPr="00FF5CB7">
      <w:rPr>
        <w:sz w:val="21"/>
        <w:szCs w:val="21"/>
      </w:rPr>
      <w:instrText xml:space="preserve"> PAGE    \* MERGEFORMAT </w:instrText>
    </w:r>
    <w:r w:rsidRPr="00FF5CB7">
      <w:rPr>
        <w:sz w:val="21"/>
        <w:szCs w:val="21"/>
      </w:rPr>
      <w:fldChar w:fldCharType="separate"/>
    </w:r>
    <w:r w:rsidR="00762AAD" w:rsidRPr="00762AAD">
      <w:rPr>
        <w:rFonts w:asciiTheme="majorHAnsi" w:hAnsiTheme="majorHAnsi"/>
        <w:noProof/>
        <w:sz w:val="21"/>
        <w:szCs w:val="21"/>
        <w:lang w:val="zh-CN"/>
      </w:rPr>
      <w:t>5</w:t>
    </w:r>
    <w:r w:rsidRPr="00FF5CB7">
      <w:rPr>
        <w:sz w:val="21"/>
        <w:szCs w:val="21"/>
      </w:rPr>
      <w:fldChar w:fldCharType="end"/>
    </w:r>
    <w:r w:rsidR="00FF5CB7" w:rsidRPr="006B6A60">
      <w:rPr>
        <w:rFonts w:asciiTheme="majorHAnsi" w:hAnsiTheme="majorHAnsi"/>
        <w:noProof/>
        <w:sz w:val="28"/>
        <w:szCs w:val="28"/>
        <w:lang w:val="zh-CN"/>
      </w:rPr>
      <w:t>-</w:t>
    </w:r>
    <w:r w:rsidR="00FF5CB7" w:rsidRPr="00FF5CB7">
      <w:rPr>
        <w:rFonts w:hint="eastAsia"/>
        <w:sz w:val="21"/>
        <w:szCs w:val="21"/>
      </w:rPr>
      <w:t>页</w:t>
    </w:r>
    <w:r w:rsidR="00FF5CB7" w:rsidRPr="00FF5CB7">
      <w:rPr>
        <w:rFonts w:hint="eastAsia"/>
        <w:sz w:val="21"/>
        <w:szCs w:val="21"/>
      </w:rPr>
      <w:t xml:space="preserve">  </w:t>
    </w:r>
    <w:r w:rsidR="00FF5CB7" w:rsidRPr="00FF5CB7">
      <w:rPr>
        <w:rFonts w:hint="eastAsia"/>
        <w:sz w:val="21"/>
        <w:szCs w:val="21"/>
      </w:rPr>
      <w:t>共</w:t>
    </w:r>
    <w:fldSimple w:instr=" NUMPAGES   \* MERGEFORMAT ">
      <w:r w:rsidR="00762AAD" w:rsidRPr="00762AAD">
        <w:rPr>
          <w:noProof/>
          <w:sz w:val="21"/>
          <w:szCs w:val="21"/>
        </w:rPr>
        <w:t>5</w:t>
      </w:r>
    </w:fldSimple>
    <w:r w:rsidR="00FF5CB7" w:rsidRPr="00FF5CB7">
      <w:rPr>
        <w:rFonts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ED" w:rsidRDefault="007849ED" w:rsidP="00B51086">
      <w:r>
        <w:separator/>
      </w:r>
    </w:p>
  </w:footnote>
  <w:footnote w:type="continuationSeparator" w:id="1">
    <w:p w:rsidR="007849ED" w:rsidRDefault="007849ED" w:rsidP="00B5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86" w:rsidRPr="00FF5CB7" w:rsidRDefault="00FF5CB7" w:rsidP="00B51086">
    <w:pPr>
      <w:pStyle w:val="a3"/>
      <w:jc w:val="left"/>
      <w:rPr>
        <w:rFonts w:ascii="Times New Roman" w:hAnsi="Times New Roman" w:cs="Times New Roman"/>
        <w:b/>
        <w:color w:val="548DD4" w:themeColor="text2" w:themeTint="99"/>
        <w:sz w:val="21"/>
        <w:szCs w:val="21"/>
      </w:rPr>
    </w:pPr>
    <w:r>
      <w:rPr>
        <w:rFonts w:hint="eastAsia"/>
        <w:noProof/>
      </w:rPr>
      <w:drawing>
        <wp:inline distT="0" distB="0" distL="0" distR="0">
          <wp:extent cx="1619250" cy="428625"/>
          <wp:effectExtent l="19050" t="0" r="0" b="0"/>
          <wp:docPr id="4" name="图片 3" descr="师出文库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师出文库logo.png"/>
                  <pic:cNvPicPr/>
                </pic:nvPicPr>
                <pic:blipFill>
                  <a:blip r:embed="rId1"/>
                  <a:stretch>
                    <a:fillRect/>
                  </a:stretch>
                </pic:blipFill>
                <pic:spPr>
                  <a:xfrm>
                    <a:off x="0" y="0"/>
                    <a:ext cx="1619254" cy="428626"/>
                  </a:xfrm>
                  <a:prstGeom prst="rect">
                    <a:avLst/>
                  </a:prstGeom>
                </pic:spPr>
              </pic:pic>
            </a:graphicData>
          </a:graphic>
        </wp:inline>
      </w:drawing>
    </w:r>
    <w:r>
      <w:rPr>
        <w:rFonts w:hint="eastAsia"/>
      </w:rPr>
      <w:t xml:space="preserve">     </w:t>
    </w:r>
    <w:r w:rsidR="004A4873">
      <w:rPr>
        <w:rFonts w:hint="eastAsia"/>
      </w:rPr>
      <w:t xml:space="preserve">                    </w:t>
    </w:r>
    <w:r w:rsidR="004A4873" w:rsidRPr="004A4873">
      <w:rPr>
        <w:rFonts w:hint="eastAsia"/>
        <w:b/>
      </w:rPr>
      <w:t>师出教育</w:t>
    </w:r>
    <w:r w:rsidR="00906961">
      <w:rPr>
        <w:rFonts w:hint="eastAsia"/>
      </w:rPr>
      <w:t xml:space="preserve"> </w:t>
    </w:r>
    <w:hyperlink r:id="rId2" w:history="1">
      <w:r w:rsidRPr="00FF5CB7">
        <w:rPr>
          <w:rStyle w:val="a6"/>
          <w:rFonts w:ascii="Times New Roman" w:hAnsi="Times New Roman" w:cs="Times New Roman"/>
          <w:b/>
          <w:sz w:val="21"/>
          <w:szCs w:val="21"/>
          <w:u w:val="none"/>
        </w:rPr>
        <w:t>http://www.shichuedu.com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F026"/>
    <w:multiLevelType w:val="singleLevel"/>
    <w:tmpl w:val="5731F0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rules v:ext="edit">
        <o:r id="V:Rule2" type="connector" idref="#_x0000_s102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4B5"/>
    <w:rsid w:val="000054B5"/>
    <w:rsid w:val="00085A6F"/>
    <w:rsid w:val="002F4DB0"/>
    <w:rsid w:val="004612C3"/>
    <w:rsid w:val="004A4873"/>
    <w:rsid w:val="005D3B58"/>
    <w:rsid w:val="006A1585"/>
    <w:rsid w:val="00761D9C"/>
    <w:rsid w:val="00762AAD"/>
    <w:rsid w:val="007849ED"/>
    <w:rsid w:val="00791F41"/>
    <w:rsid w:val="007A3231"/>
    <w:rsid w:val="008E33BF"/>
    <w:rsid w:val="00906961"/>
    <w:rsid w:val="00934070"/>
    <w:rsid w:val="00AA2317"/>
    <w:rsid w:val="00B51086"/>
    <w:rsid w:val="00BE15B6"/>
    <w:rsid w:val="00C96382"/>
    <w:rsid w:val="00FF5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6F"/>
    <w:pPr>
      <w:widowControl w:val="0"/>
      <w:jc w:val="both"/>
    </w:pPr>
    <w:rPr>
      <w:rFonts w:ascii="Arial" w:eastAsia="宋体" w:hAnsi="Arial" w:cs="Arial"/>
      <w:bCs/>
      <w:snapToGrid w:val="0"/>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1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1086"/>
    <w:rPr>
      <w:sz w:val="18"/>
      <w:szCs w:val="18"/>
    </w:rPr>
  </w:style>
  <w:style w:type="paragraph" w:styleId="a4">
    <w:name w:val="footer"/>
    <w:basedOn w:val="a"/>
    <w:link w:val="Char0"/>
    <w:uiPriority w:val="99"/>
    <w:unhideWhenUsed/>
    <w:rsid w:val="00B51086"/>
    <w:pPr>
      <w:tabs>
        <w:tab w:val="center" w:pos="4153"/>
        <w:tab w:val="right" w:pos="8306"/>
      </w:tabs>
      <w:snapToGrid w:val="0"/>
      <w:jc w:val="left"/>
    </w:pPr>
    <w:rPr>
      <w:sz w:val="18"/>
      <w:szCs w:val="18"/>
    </w:rPr>
  </w:style>
  <w:style w:type="character" w:customStyle="1" w:styleId="Char0">
    <w:name w:val="页脚 Char"/>
    <w:basedOn w:val="a0"/>
    <w:link w:val="a4"/>
    <w:uiPriority w:val="99"/>
    <w:rsid w:val="00B51086"/>
    <w:rPr>
      <w:sz w:val="18"/>
      <w:szCs w:val="18"/>
    </w:rPr>
  </w:style>
  <w:style w:type="paragraph" w:styleId="a5">
    <w:name w:val="Balloon Text"/>
    <w:basedOn w:val="a"/>
    <w:link w:val="Char1"/>
    <w:uiPriority w:val="99"/>
    <w:semiHidden/>
    <w:unhideWhenUsed/>
    <w:rsid w:val="00B51086"/>
    <w:rPr>
      <w:sz w:val="18"/>
      <w:szCs w:val="18"/>
    </w:rPr>
  </w:style>
  <w:style w:type="character" w:customStyle="1" w:styleId="Char1">
    <w:name w:val="批注框文本 Char"/>
    <w:basedOn w:val="a0"/>
    <w:link w:val="a5"/>
    <w:uiPriority w:val="99"/>
    <w:semiHidden/>
    <w:rsid w:val="00B51086"/>
    <w:rPr>
      <w:sz w:val="18"/>
      <w:szCs w:val="18"/>
    </w:rPr>
  </w:style>
  <w:style w:type="character" w:styleId="a6">
    <w:name w:val="Hyperlink"/>
    <w:basedOn w:val="a0"/>
    <w:uiPriority w:val="99"/>
    <w:unhideWhenUsed/>
    <w:rsid w:val="00FF5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hichuedu.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72;&#20986;&#25991;&#2421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师出文库模板.dotx</Template>
  <TotalTime>0</TotalTime>
  <Pages>5</Pages>
  <Words>453</Words>
  <Characters>2587</Characters>
  <Application>Microsoft Office Word</Application>
  <DocSecurity>0</DocSecurity>
  <Lines>21</Lines>
  <Paragraphs>6</Paragraphs>
  <ScaleCrop>false</ScaleCrop>
  <Company>Microsoft</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2017-04-21T13:50:00Z</dcterms:created>
  <dcterms:modified xsi:type="dcterms:W3CDTF">2017-04-21T13:50:00Z</dcterms:modified>
</cp:coreProperties>
</file>